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A4" w:rsidRPr="007D1D82" w:rsidRDefault="00095C42" w:rsidP="000C74A4">
      <w:pPr>
        <w:spacing w:after="0" w:line="240" w:lineRule="auto"/>
        <w:jc w:val="right"/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</w:pPr>
      <w:r w:rsidRPr="007D1D82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  <w:t>АБЕМ</w:t>
      </w:r>
      <w:r w:rsidR="006A3B06" w:rsidRPr="007D1D82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  <w:t xml:space="preserve">. </w:t>
      </w:r>
      <w:r w:rsidR="00A87EC5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  <w:t>Точка зору щод</w:t>
      </w:r>
      <w:r w:rsidR="00D4694A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  <w:t>о</w:t>
      </w:r>
      <w:bookmarkStart w:id="0" w:name="_GoBack"/>
      <w:bookmarkEnd w:id="0"/>
      <w:r w:rsidR="000C74A4" w:rsidRPr="007D1D82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eastAsia="uk-UA"/>
        </w:rPr>
        <w:t xml:space="preserve"> ПЗУ 7055</w:t>
      </w:r>
    </w:p>
    <w:p w:rsidR="00A3178F" w:rsidRPr="007D1D82" w:rsidRDefault="00810FF2" w:rsidP="005D524E">
      <w:pPr>
        <w:spacing w:after="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0C74A4" w:rsidRPr="007D1D82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uk-UA"/>
        </w:rPr>
        <w:t>(той же за суттю, що й</w:t>
      </w:r>
      <w:r w:rsidRPr="007D1D82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uk-UA"/>
        </w:rPr>
        <w:t xml:space="preserve"> №3498</w:t>
      </w:r>
      <w:r w:rsidR="000C74A4" w:rsidRPr="007D1D82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uk-UA"/>
        </w:rPr>
        <w:t>, який НЕ пройшов друге читання</w:t>
      </w:r>
      <w:r w:rsidR="005D524E" w:rsidRPr="007D1D82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eastAsia="uk-UA"/>
        </w:rPr>
        <w:t>)</w:t>
      </w:r>
    </w:p>
    <w:p w:rsidR="00A3178F" w:rsidRPr="007D1D82" w:rsidRDefault="00A3178F" w:rsidP="00CC2C97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uk-UA"/>
        </w:rPr>
      </w:pPr>
    </w:p>
    <w:p w:rsidR="000E4E20" w:rsidRPr="007D1D82" w:rsidRDefault="00A3178F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</w:pPr>
      <w:r w:rsidRPr="007D1D82">
        <w:rPr>
          <w:rFonts w:eastAsia="Times New Roman" w:cstheme="minorHAnsi"/>
          <w:i/>
          <w:color w:val="000000"/>
          <w:sz w:val="20"/>
          <w:szCs w:val="20"/>
          <w:highlight w:val="lightGray"/>
          <w:u w:val="single"/>
          <w:shd w:val="clear" w:color="auto" w:fill="FFFFFF"/>
          <w:lang w:eastAsia="uk-UA"/>
        </w:rPr>
        <w:t>Довідка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: </w:t>
      </w:r>
      <w:r w:rsidR="00E71FA1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ПЗУ 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3498 свого часу </w:t>
      </w:r>
      <w:r w:rsidR="000C74A4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допустили до 1-ого читання за умови, що 3498 буде </w:t>
      </w:r>
      <w:r w:rsidR="00E71FA1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суттєво </w:t>
      </w:r>
      <w:r w:rsidR="000C74A4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доопрацьовано з врахуванням з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ауважень, чого так і не сталося, й відповідно</w:t>
      </w:r>
      <w:r w:rsidR="00E71FA1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,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 він не пройшов 2-ге читання. </w:t>
      </w:r>
    </w:p>
    <w:p w:rsidR="00810FF2" w:rsidRPr="007D1D82" w:rsidRDefault="00E71FA1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                </w:t>
      </w:r>
      <w:r w:rsidR="00A3178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Т</w:t>
      </w:r>
      <w:r w:rsidR="000C74A4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ому НКЦПФР пішла іншим шляхом – через депутатів, що входять до складу Комітету з 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питань фінансової політики і банківської діяльності</w:t>
      </w:r>
      <w:r w:rsidR="00A3178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. П</w:t>
      </w:r>
      <w:r w:rsidR="000C74A4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ри цьому знову  наголошується тільки на необхідності прийняття 7055 для сприяння розвитку ринку капіталів (до якого не зрозуміло чому віднесли й деривативи</w:t>
      </w:r>
      <w:r w:rsidR="00810FF2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)</w:t>
      </w:r>
      <w:r w:rsidR="000C74A4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, а що 7055 запроваджується регулювання товарних бірж й </w:t>
      </w:r>
      <w:r w:rsidR="00EC584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організованих товарних ринків, 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а також і укладання деривативів на позабіржовому ринку між господарюючими суб’єктами</w:t>
      </w:r>
      <w:r w:rsidR="000A3619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  </w:t>
      </w:r>
      <w:r w:rsidR="00EC584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знову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, - про це</w:t>
      </w:r>
      <w:r w:rsidR="00EC584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 замовчується як і при поданні 3498; й більше того, замовчується й про наслідки для учасни</w:t>
      </w:r>
      <w:r w:rsidR="00A3178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ків реального сектора економіки.</w:t>
      </w:r>
    </w:p>
    <w:p w:rsidR="000E4E20" w:rsidRPr="007D1D82" w:rsidRDefault="000E4E20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                </w:t>
      </w:r>
      <w:r w:rsidR="000A3619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Зазначимо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, </w:t>
      </w:r>
      <w:r w:rsidR="003038EF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що 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 xml:space="preserve">Комітет </w:t>
      </w:r>
      <w:r w:rsidR="00E71FA1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з питань фінансової політики і банківської діяльності (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члени якого є «авторами» ПЗУ 7055), знову (як і щодо 3498) незважаючи на суттєві зауваження ГНЕУ ВРУ, рекомендував ПЗУ 7055 до прийняття в 1-ому читанні за основу</w:t>
      </w:r>
      <w:r w:rsidR="00A031AB"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, - див. http://w1.c1.rada.gov.ua/pls/zweb2/webproc4_1?pf3511=62443</w:t>
      </w:r>
      <w:r w:rsidRPr="007D1D82">
        <w:rPr>
          <w:rFonts w:eastAsia="Times New Roman" w:cstheme="minorHAnsi"/>
          <w:color w:val="000000"/>
          <w:sz w:val="20"/>
          <w:szCs w:val="20"/>
          <w:highlight w:val="lightGray"/>
          <w:shd w:val="clear" w:color="auto" w:fill="FFFFFF"/>
          <w:lang w:eastAsia="uk-UA"/>
        </w:rPr>
        <w:t>.</w:t>
      </w: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1) НКЦПФР має право </w:t>
      </w:r>
      <w:r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віднести до організованого ринку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 (регульованого та БТС) </w:t>
      </w:r>
      <w:r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БУДЬ-ЯКУ ОРГАНІЗОВАНУ торгівлю продукцією (у т.ч. енергоресурсами)</w:t>
      </w:r>
      <w:r w:rsidR="000A3619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val="ru-RU" w:eastAsia="uk-UA"/>
        </w:rPr>
        <w:t xml:space="preserve"> </w:t>
      </w:r>
      <w:r w:rsidR="000A3619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та «дошку оголошень»</w:t>
      </w:r>
      <w:r w:rsidR="00EC67D4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, розміщення заявок про попит/пропозицію на якій призводить до укладання угод</w:t>
      </w:r>
      <w:r w:rsidR="00A30F79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.</w:t>
      </w:r>
      <w:r w:rsidR="000A3619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 </w:t>
      </w:r>
    </w:p>
    <w:p w:rsidR="00BB2F58" w:rsidRPr="007D1D82" w:rsidRDefault="00BB2F58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</w:p>
    <w:p w:rsidR="00257189" w:rsidRPr="007D1D82" w:rsidRDefault="005D524E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Тобто</w:t>
      </w:r>
      <w:r w:rsidR="00D87F44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до </w:t>
      </w:r>
      <w:r w:rsidR="00257189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організованих ринків будуть прирівняні (віднесені):</w:t>
      </w:r>
    </w:p>
    <w:p w:rsidR="00257189" w:rsidRPr="007D1D82" w:rsidRDefault="00257189" w:rsidP="002571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ринки, що функціонують на товарних і фондових біржах</w:t>
      </w:r>
      <w:r w:rsidR="00986168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 або з застосуванням їх торгових платформ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;</w:t>
      </w:r>
    </w:p>
    <w:p w:rsidR="005D524E" w:rsidRPr="007D1D82" w:rsidRDefault="00257189" w:rsidP="005D5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організовані енергетичні ринки (торгові</w:t>
      </w:r>
      <w:r w:rsidR="00A13395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, балансуючі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 та інформаційні платформи),</w:t>
      </w:r>
      <w:r w:rsidR="005D524E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 -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5D524E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як біржові так і позабіржові, - 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на яких (чи з застосуванням </w:t>
      </w:r>
      <w:r w:rsidR="00A56E35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платформ 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яких) учасники таких ринків будуть здійснювати врегулювання небалансів, тобто – балансуючий ринок, </w:t>
      </w:r>
      <w:r w:rsidR="00A13395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внутрішньо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добовий ринок і </w:t>
      </w:r>
      <w:r w:rsidR="00A07BD5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ринок «</w:t>
      </w:r>
      <w:r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на добу вперед</w:t>
      </w:r>
      <w:r w:rsidR="00A07BD5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»</w:t>
      </w:r>
      <w:r w:rsidR="00B11A81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>,</w:t>
      </w:r>
      <w:r w:rsidR="005D524E" w:rsidRPr="007D1D82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uk-UA"/>
        </w:rPr>
        <w:t xml:space="preserve"> та/або закупівлю/продаж енергоресурсів чи оголошувати свої потреби (заявки) на придбання/продаж енергоресурсів. </w:t>
      </w:r>
    </w:p>
    <w:p w:rsidR="00257189" w:rsidRPr="007D1D82" w:rsidRDefault="00257189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</w:p>
    <w:p w:rsidR="00D87F44" w:rsidRPr="007D1D82" w:rsidRDefault="005D524E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В</w:t>
      </w:r>
      <w:r w:rsidR="00B11A81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ідповідно, 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і </w:t>
      </w:r>
      <w:r w:rsidR="00B11A81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діяльність </w:t>
      </w:r>
      <w:r w:rsidR="00A13395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операторів таких ринків </w:t>
      </w:r>
      <w:r w:rsidR="00B11A81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буде підпадати під регулювання</w:t>
      </w:r>
      <w:r w:rsidR="007401F5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НКЦПФР</w:t>
      </w:r>
      <w:r w:rsidR="00B11A81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.</w:t>
      </w:r>
      <w:r w:rsidR="00BB2F58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</w:t>
      </w:r>
    </w:p>
    <w:p w:rsidR="00D87F44" w:rsidRPr="007D1D82" w:rsidRDefault="00D87F44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</w:p>
    <w:p w:rsidR="00810FF2" w:rsidRPr="007D1D82" w:rsidRDefault="00A30F79" w:rsidP="00A30F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2) П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ри цьому </w:t>
      </w:r>
      <w:r w:rsidR="00810FF2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вимоги до функціонування таких ринків, їх операторів, посадових осіб, статуту тощо встановлюються НКЦПФР </w:t>
      </w:r>
      <w:r w:rsidR="00B22E2A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>(згідно ЗУ «</w:t>
      </w:r>
      <w:r w:rsidR="00B22E2A" w:rsidRPr="007D1D82">
        <w:rPr>
          <w:rFonts w:cstheme="minorHAnsi"/>
          <w:sz w:val="20"/>
          <w:szCs w:val="20"/>
        </w:rPr>
        <w:t>Про Національну комісію з цінних паперів та фондового ринку», в який буде перейменовано ЗУ «Про державне регулювання ринку цінних паперів</w:t>
      </w:r>
      <w:r w:rsidRPr="007D1D82">
        <w:rPr>
          <w:rFonts w:cstheme="minorHAnsi"/>
          <w:sz w:val="20"/>
          <w:szCs w:val="20"/>
        </w:rPr>
        <w:t xml:space="preserve"> в Україні» з розширенням певних</w:t>
      </w:r>
      <w:r w:rsidR="00B22E2A" w:rsidRPr="007D1D82">
        <w:rPr>
          <w:rFonts w:cstheme="minorHAnsi"/>
          <w:sz w:val="20"/>
          <w:szCs w:val="20"/>
        </w:rPr>
        <w:t xml:space="preserve"> повноважень НКЦПФР</w:t>
      </w:r>
      <w:r w:rsidR="00B22E2A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>).</w:t>
      </w:r>
    </w:p>
    <w:p w:rsidR="00810FF2" w:rsidRPr="007D1D82" w:rsidRDefault="00A30F79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3) Ц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е ж саме стосується і здійснення </w:t>
      </w:r>
      <w:r w:rsidR="00810FF2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клірингової діяльності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та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 </w:t>
      </w:r>
      <w:r w:rsidR="00810FF2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діяльності торгового репозитарію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 (тобто вимоги і порядок звітування за </w:t>
      </w:r>
      <w:r w:rsidR="00810FF2" w:rsidRPr="007D1D82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uk-UA"/>
        </w:rPr>
        <w:t>REMIT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- </w:t>
      </w:r>
      <w:r w:rsidR="00810FF2" w:rsidRPr="007D1D82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eastAsia="uk-UA"/>
        </w:rPr>
        <w:t>Регламент про прозорість і єд</w:t>
      </w:r>
      <w:r w:rsidR="0027346D" w:rsidRPr="007D1D82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eastAsia="uk-UA"/>
        </w:rPr>
        <w:t>ність енергетичного ринку</w:t>
      </w:r>
      <w:r w:rsidR="00810FF2" w:rsidRPr="007D1D82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eastAsia="uk-UA"/>
        </w:rPr>
        <w:t xml:space="preserve"> №1227/2011 від 25.10.2011 - 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фактично також будуть встановлюватися НКЦПФР)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.</w:t>
      </w:r>
    </w:p>
    <w:p w:rsidR="009E769F" w:rsidRPr="007D1D82" w:rsidRDefault="009E769F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</w:p>
    <w:p w:rsidR="00D87F44" w:rsidRPr="007D1D82" w:rsidRDefault="00AF442C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4) В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сі угоди на регульованих ринках (= на операторах таких ринків) підлягають обов'язковому клірингу через </w:t>
      </w:r>
      <w:r w:rsidR="00810FF2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Центрального контрагента, вимоги до якого також встановлюються НКЦПФР</w:t>
      </w:r>
      <w:r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.</w:t>
      </w:r>
      <w:r w:rsidR="000C74A4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 </w:t>
      </w:r>
    </w:p>
    <w:p w:rsidR="00D87F44" w:rsidRPr="007D1D82" w:rsidRDefault="00D87F44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</w:p>
    <w:p w:rsidR="009F0F88" w:rsidRPr="007D1D82" w:rsidRDefault="0027346D" w:rsidP="00CC2C97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>При цьому</w:t>
      </w:r>
      <w:r w:rsidR="00AD2A6C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, </w:t>
      </w:r>
      <w:r w:rsidR="00D87F44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як </w:t>
      </w:r>
      <w:r w:rsidR="00AD2A6C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>і в ПЗУ 3498,</w:t>
      </w:r>
      <w:r w:rsidR="000C74A4" w:rsidRPr="007D1D82">
        <w:rPr>
          <w:rFonts w:cstheme="minorHAnsi"/>
          <w:sz w:val="20"/>
          <w:szCs w:val="20"/>
          <w:shd w:val="clear" w:color="auto" w:fill="FFFFFF"/>
        </w:rPr>
        <w:t xml:space="preserve"> прописано, що </w:t>
      </w:r>
      <w:r w:rsidR="000C74A4" w:rsidRPr="007D1D82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</w:rPr>
        <w:t xml:space="preserve">Центральний контрагент може функціонувати тільки в правовій формі </w:t>
      </w:r>
      <w:r w:rsidR="00AD2A6C" w:rsidRPr="007D1D82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</w:rPr>
        <w:t>акціоне</w:t>
      </w:r>
      <w:r w:rsidR="00AF442C" w:rsidRPr="007D1D82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</w:rPr>
        <w:t>р</w:t>
      </w:r>
      <w:r w:rsidR="000C74A4" w:rsidRPr="007D1D82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</w:rPr>
        <w:t>ного товариства, і знову біржам заборонено здійснювати діяльність Центрального контрагента</w:t>
      </w:r>
      <w:r w:rsidR="00AD2A6C" w:rsidRPr="007D1D82">
        <w:rPr>
          <w:rFonts w:eastAsia="Times New Roman" w:cstheme="minorHAnsi"/>
          <w:bCs/>
          <w:sz w:val="20"/>
          <w:szCs w:val="20"/>
          <w:u w:val="single"/>
          <w:shd w:val="clear" w:color="auto" w:fill="FFFFFF"/>
          <w:lang w:eastAsia="uk-UA"/>
        </w:rPr>
        <w:t xml:space="preserve">, чим в сьогоднішніх </w:t>
      </w:r>
      <w:r w:rsidR="00AD2A6C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>умовах</w:t>
      </w:r>
      <w:r w:rsidR="00AD2A6C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 </w:t>
      </w:r>
      <w:r w:rsidR="00AD2A6C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фактично подовжується насадження монополії ПАТ «Розрахунковий центр з обслуговування договорів на фінансових ринках</w:t>
      </w:r>
      <w:r w:rsidR="00AD2A6C" w:rsidRPr="007D1D82">
        <w:rPr>
          <w:rFonts w:eastAsia="Times New Roman" w:cstheme="minorHAnsi"/>
          <w:bCs/>
          <w:color w:val="FF0000"/>
          <w:sz w:val="20"/>
          <w:szCs w:val="20"/>
          <w:shd w:val="clear" w:color="auto" w:fill="FFFFFF"/>
          <w:lang w:eastAsia="uk-UA"/>
        </w:rPr>
        <w:t>»</w:t>
      </w:r>
      <w:r w:rsidR="00AD2A6C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 зі здійснення псевдо клірингу </w:t>
      </w:r>
      <w:r w:rsidR="00916864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(дублює клірингові операції, які вже були здійснені біржами) </w:t>
      </w:r>
      <w:r w:rsidR="00AD2A6C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та виконання функцій Центрального контрагента </w:t>
      </w:r>
      <w:r w:rsidR="00C2299E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(а фактично, тільки централізований кліринг та виконання угод за принципом </w:t>
      </w:r>
      <w:r w:rsidR="00C2299E" w:rsidRPr="007D1D82">
        <w:rPr>
          <w:rFonts w:eastAsia="Times New Roman" w:cstheme="minorHAnsi"/>
          <w:bCs/>
          <w:sz w:val="20"/>
          <w:szCs w:val="20"/>
          <w:shd w:val="clear" w:color="auto" w:fill="FFFFFF"/>
          <w:lang w:val="en-US" w:eastAsia="uk-UA"/>
        </w:rPr>
        <w:t>DvP</w:t>
      </w:r>
      <w:r w:rsidR="00C2299E" w:rsidRPr="007D1D82">
        <w:rPr>
          <w:rFonts w:eastAsia="Times New Roman" w:cstheme="minorHAnsi"/>
          <w:bCs/>
          <w:sz w:val="20"/>
          <w:szCs w:val="20"/>
          <w:shd w:val="clear" w:color="auto" w:fill="FFFFFF"/>
          <w:lang w:eastAsia="uk-UA"/>
        </w:rPr>
        <w:t xml:space="preserve"> на умовах 100% преддепонування коштів та цінних паперів) й при тому не за малі кошти.</w:t>
      </w:r>
    </w:p>
    <w:p w:rsidR="009F0F88" w:rsidRPr="007D1D82" w:rsidRDefault="009F0F88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</w:p>
    <w:p w:rsidR="00AD2A6C" w:rsidRPr="007D1D82" w:rsidRDefault="00AD2A6C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  <w:r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Більше того, ця монополія поширюється і на товарний ринок.</w:t>
      </w:r>
    </w:p>
    <w:p w:rsidR="00AD2A6C" w:rsidRPr="007D1D82" w:rsidRDefault="00AD2A6C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</w:p>
    <w:p w:rsidR="00397CF9" w:rsidRPr="007D1D82" w:rsidRDefault="0027346D" w:rsidP="0027346D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  <w:r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>Слід зазначити, що світова</w:t>
      </w:r>
      <w:r w:rsidR="00D87F44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 практи</w:t>
      </w:r>
      <w:r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ка показує, що </w:t>
      </w:r>
      <w:r w:rsidR="00397CF9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>клірингові організації/Центральні контрагенти є «породженими» біржами</w:t>
      </w:r>
      <w:r w:rsidR="00D87F44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 </w:t>
      </w:r>
      <w:r w:rsidR="00873DC7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(див. Додаток </w:t>
      </w:r>
      <w:r w:rsidR="00412DC7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>1</w:t>
      </w:r>
      <w:r w:rsidR="00873DC7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) </w:t>
      </w:r>
      <w:r w:rsidR="00397CF9"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>і складають спільно з ними єдиний інтегрований комплекс, знижуючи опер</w:t>
      </w:r>
      <w:r w:rsidRPr="007D1D82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uk-UA"/>
        </w:rPr>
        <w:t xml:space="preserve">аційні витрати учасників торгів. </w:t>
      </w:r>
      <w:r w:rsidR="005436AB" w:rsidRPr="007D1D82">
        <w:rPr>
          <w:rFonts w:eastAsia="Times New Roman" w:cstheme="minorHAnsi"/>
          <w:sz w:val="20"/>
          <w:szCs w:val="20"/>
          <w:lang w:eastAsia="en-GB"/>
        </w:rPr>
        <w:t xml:space="preserve">Завдяки інтегрованій структурі, яка охоплює торговельні та клірингові послуги за допомогою єдиної електронної системи, учасники ринку отримують вигоду </w:t>
      </w:r>
      <w:r w:rsidR="005436AB" w:rsidRPr="007D1D82">
        <w:rPr>
          <w:rFonts w:eastAsia="Times New Roman" w:cstheme="minorHAnsi"/>
          <w:b/>
          <w:sz w:val="20"/>
          <w:szCs w:val="20"/>
          <w:lang w:eastAsia="en-GB"/>
        </w:rPr>
        <w:t>від високоякісного, економічно ефективного та комплексного ланцюга вартості. </w:t>
      </w:r>
      <w:r w:rsidR="00397CF9" w:rsidRPr="007D1D82">
        <w:rPr>
          <w:rFonts w:eastAsia="Times New Roman" w:cstheme="minorHAnsi"/>
          <w:b/>
          <w:bCs/>
          <w:sz w:val="20"/>
          <w:szCs w:val="20"/>
          <w:u w:val="single"/>
          <w:shd w:val="clear" w:color="auto" w:fill="FFFFFF"/>
          <w:lang w:eastAsia="uk-UA"/>
        </w:rPr>
        <w:t xml:space="preserve"> </w:t>
      </w:r>
    </w:p>
    <w:p w:rsidR="00AD2A6C" w:rsidRPr="007D1D82" w:rsidRDefault="00AD2A6C" w:rsidP="00CC2C97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</w:pP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5) </w:t>
      </w:r>
      <w:r w:rsidR="002551CA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К</w:t>
      </w:r>
      <w:r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ритерії маніпулювання встановлюються НКЦПФР</w:t>
      </w:r>
      <w:r w:rsidR="002551CA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shd w:val="clear" w:color="auto" w:fill="FFFFFF"/>
          <w:lang w:eastAsia="uk-UA"/>
        </w:rPr>
        <w:t>.</w:t>
      </w: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6) </w:t>
      </w:r>
      <w:r w:rsidR="002551CA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А</w:t>
      </w:r>
      <w:r w:rsidR="003D0025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дмін.з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аходи, штрафи встановлюються НКЦПФР</w:t>
      </w:r>
      <w:r w:rsidR="002551CA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.</w:t>
      </w: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7) </w:t>
      </w:r>
      <w:r w:rsidR="002551CA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Д</w:t>
      </w:r>
      <w:r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о деривативу </w:t>
      </w:r>
      <w:r w:rsidR="005A017E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згідно ПЗУ 7055 </w:t>
      </w:r>
      <w:r w:rsidR="002551CA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НКЦПФР має право</w:t>
      </w:r>
      <w:r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 віднести будь-яку </w:t>
      </w:r>
      <w:r w:rsidR="00701746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правову форму угод, що укладаються, у тому числі, на позабіржовому ринку</w:t>
      </w:r>
      <w:r w:rsidR="002551CA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.</w:t>
      </w:r>
      <w:r w:rsidR="00D64F1D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 </w:t>
      </w:r>
    </w:p>
    <w:p w:rsidR="00810FF2" w:rsidRPr="007D1D82" w:rsidRDefault="002551CA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8) </w:t>
      </w:r>
      <w:r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Д</w:t>
      </w:r>
      <w:r w:rsidR="00810FF2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о угод, укладених з деривативами на </w:t>
      </w:r>
      <w:r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позабіржовому ринку, НКЦПФР має право</w:t>
      </w:r>
      <w:r w:rsidR="00810FF2"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 xml:space="preserve"> висунути вимогу щодо їх клірингу через Центрального контрагента</w:t>
      </w:r>
      <w:r w:rsidRPr="007D1D82">
        <w:rPr>
          <w:rFonts w:eastAsia="Times New Roman" w:cstheme="minorHAnsi"/>
          <w:b/>
          <w:color w:val="FF0000"/>
          <w:sz w:val="20"/>
          <w:szCs w:val="20"/>
          <w:u w:val="single"/>
          <w:shd w:val="clear" w:color="auto" w:fill="FFFFFF"/>
          <w:lang w:eastAsia="uk-UA"/>
        </w:rPr>
        <w:t>.</w:t>
      </w: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9) </w:t>
      </w:r>
      <w:r w:rsidR="002551CA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З</w:t>
      </w:r>
      <w:r w:rsidR="00D64F1D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апроваджується </w:t>
      </w:r>
      <w:r w:rsidR="001D0389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звітність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1D0389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учасників товарних ринків</w:t>
      </w:r>
      <w:r w:rsidR="00783304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перед НКЦПФР</w:t>
      </w:r>
      <w:r w:rsidR="002551CA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.</w:t>
      </w:r>
    </w:p>
    <w:p w:rsidR="00810FF2" w:rsidRPr="007D1D82" w:rsidRDefault="00810FF2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10) </w:t>
      </w:r>
      <w:r w:rsidR="002551CA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Р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егулювання інших видів діяльності, пов</w:t>
      </w:r>
      <w:r w:rsidR="00873DC7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’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язаних з організованими ринками</w:t>
      </w:r>
      <w:r w:rsidR="00701746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та </w:t>
      </w:r>
      <w:r w:rsidR="001D0389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укладанням деривативів (як-то </w:t>
      </w:r>
      <w:r w:rsidR="00873DC7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–</w:t>
      </w:r>
      <w:r w:rsidR="001D0389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 форвард чи будь-які інші двосторонні договор</w:t>
      </w:r>
      <w:r w:rsidR="00592D7F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и з ознаками </w:t>
      </w:r>
      <w:r w:rsidR="001D0389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того чи іншого деривативу</w:t>
      </w:r>
      <w:r w:rsidR="00592D7F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), що укладаються поза організованих ринків</w:t>
      </w:r>
    </w:p>
    <w:p w:rsidR="00810FF2" w:rsidRPr="007D1D82" w:rsidRDefault="002551CA" w:rsidP="00CC2C9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т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ощо</w:t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, також буде здійснюватися НКЦПФР</w:t>
      </w:r>
      <w:r w:rsidR="00810FF2"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>.</w:t>
      </w:r>
    </w:p>
    <w:p w:rsidR="003448D4" w:rsidRPr="007D1D82" w:rsidRDefault="00810FF2" w:rsidP="000C74A4">
      <w:pPr>
        <w:spacing w:after="0" w:line="240" w:lineRule="auto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7D1D82">
        <w:rPr>
          <w:rFonts w:eastAsia="Times New Roman" w:cstheme="minorHAnsi"/>
          <w:sz w:val="20"/>
          <w:szCs w:val="20"/>
          <w:lang w:eastAsia="uk-UA"/>
        </w:rPr>
        <w:lastRenderedPageBreak/>
        <w:br/>
      </w:r>
      <w:r w:rsidRPr="007D1D82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uk-UA"/>
        </w:rPr>
        <w:t xml:space="preserve">11) 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>Також НКЦПФР залишає за собою право</w:t>
      </w:r>
      <w:r w:rsidR="00D82B8A" w:rsidRPr="007D1D82">
        <w:rPr>
          <w:rFonts w:cstheme="minorHAnsi"/>
          <w:color w:val="1D2129"/>
          <w:sz w:val="20"/>
          <w:szCs w:val="20"/>
          <w:shd w:val="clear" w:color="auto" w:fill="FFFFFF"/>
        </w:rPr>
        <w:t xml:space="preserve"> вирішувати, які деривативи (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>читаємо – «будь-який довгостроковий договір»), що укладаються на біржовому та позабіржовому ринку, можуть укладатися учасниками ре</w:t>
      </w:r>
      <w:r w:rsidR="00D82B8A" w:rsidRPr="007D1D82">
        <w:rPr>
          <w:rFonts w:cstheme="minorHAnsi"/>
          <w:color w:val="1D2129"/>
          <w:sz w:val="20"/>
          <w:szCs w:val="20"/>
          <w:shd w:val="clear" w:color="auto" w:fill="FFFFFF"/>
        </w:rPr>
        <w:t>ального сектора (некваліфіковані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 xml:space="preserve"> інвестори) без залучення фінансових посередників</w:t>
      </w:r>
      <w:r w:rsidR="00D82B8A" w:rsidRPr="007D1D82">
        <w:rPr>
          <w:rFonts w:cstheme="minorHAnsi"/>
          <w:color w:val="1D2129"/>
          <w:sz w:val="20"/>
          <w:szCs w:val="20"/>
          <w:shd w:val="clear" w:color="auto" w:fill="FFFFFF"/>
        </w:rPr>
        <w:t xml:space="preserve"> – інвестиційних компаній (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 xml:space="preserve">в термінах чинного законодавства – торговці цінними паперами). Але якщо в ПЗУ 3498 це право НКЦПФР було прописано прямим текстом, то в ПЗУ 7055 НКЦПФР виписала такі свої повноваження опосередковано </w:t>
      </w:r>
      <w:r w:rsidR="00873DC7" w:rsidRPr="007D1D82">
        <w:rPr>
          <w:rFonts w:cstheme="minorHAnsi"/>
          <w:color w:val="1D2129"/>
          <w:sz w:val="20"/>
          <w:szCs w:val="20"/>
          <w:shd w:val="clear" w:color="auto" w:fill="FFFFFF"/>
        </w:rPr>
        <w:t>–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 xml:space="preserve"> через внесення змін до ЗУ </w:t>
      </w:r>
      <w:r w:rsidR="00873DC7" w:rsidRPr="007D1D82">
        <w:rPr>
          <w:rFonts w:cstheme="minorHAnsi"/>
          <w:color w:val="1D2129"/>
          <w:sz w:val="20"/>
          <w:szCs w:val="20"/>
          <w:shd w:val="clear" w:color="auto" w:fill="FFFFFF"/>
        </w:rPr>
        <w:t>«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>Про державне регулювання ринку цінних паперів в Україні</w:t>
      </w:r>
      <w:r w:rsidR="00873DC7" w:rsidRPr="007D1D82">
        <w:rPr>
          <w:rFonts w:cstheme="minorHAnsi"/>
          <w:color w:val="1D2129"/>
          <w:sz w:val="20"/>
          <w:szCs w:val="20"/>
          <w:shd w:val="clear" w:color="auto" w:fill="FFFFFF"/>
        </w:rPr>
        <w:t>»</w:t>
      </w:r>
      <w:r w:rsidR="000C74A4" w:rsidRPr="007D1D82">
        <w:rPr>
          <w:rFonts w:cstheme="minorHAnsi"/>
          <w:color w:val="1D2129"/>
          <w:sz w:val="20"/>
          <w:szCs w:val="20"/>
          <w:shd w:val="clear" w:color="auto" w:fill="FFFFFF"/>
        </w:rPr>
        <w:t xml:space="preserve"> в частині своїх повноважень (див. Прикінцеві положення):</w:t>
      </w:r>
    </w:p>
    <w:p w:rsidR="00810FF2" w:rsidRPr="007D1D82" w:rsidRDefault="003448D4" w:rsidP="000C74A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uk-UA"/>
        </w:rPr>
      </w:pPr>
      <w:r w:rsidRPr="007D1D82">
        <w:rPr>
          <w:rFonts w:eastAsia="Times New Roman" w:cstheme="minorHAnsi"/>
          <w:color w:val="000000"/>
          <w:sz w:val="20"/>
          <w:szCs w:val="20"/>
          <w:lang w:eastAsia="uk-UA"/>
        </w:rPr>
        <w:t xml:space="preserve">     </w:t>
      </w:r>
      <w:r w:rsidR="00810FF2" w:rsidRPr="007D1D82">
        <w:rPr>
          <w:rFonts w:eastAsia="Times New Roman" w:cstheme="minorHAnsi"/>
          <w:color w:val="000000"/>
          <w:sz w:val="20"/>
          <w:szCs w:val="20"/>
          <w:lang w:eastAsia="uk-UA"/>
        </w:rPr>
        <w:t>35) </w:t>
      </w:r>
      <w:r w:rsidR="00810FF2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uk-UA"/>
        </w:rPr>
        <w:t>встановлювати обмеження на вчинення правочинів з фінансовими інструментами</w:t>
      </w:r>
      <w:r w:rsidR="00FB00E3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uk-UA"/>
        </w:rPr>
        <w:t xml:space="preserve"> </w:t>
      </w:r>
      <w:r w:rsidR="00FB00E3" w:rsidRPr="007D1D82">
        <w:rPr>
          <w:rFonts w:eastAsia="Times New Roman" w:cstheme="minorHAnsi"/>
          <w:bCs/>
          <w:color w:val="FF0000"/>
          <w:sz w:val="20"/>
          <w:szCs w:val="20"/>
          <w:u w:val="single"/>
          <w:lang w:eastAsia="uk-UA"/>
        </w:rPr>
        <w:t>(</w:t>
      </w:r>
      <w:r w:rsidR="00FB00E3" w:rsidRPr="007D1D82">
        <w:rPr>
          <w:rFonts w:eastAsia="Times New Roman" w:cstheme="minorHAnsi"/>
          <w:bCs/>
          <w:i/>
          <w:color w:val="FF0000"/>
          <w:sz w:val="20"/>
          <w:szCs w:val="20"/>
          <w:lang w:eastAsia="uk-UA"/>
        </w:rPr>
        <w:t>примітка</w:t>
      </w:r>
      <w:r w:rsidR="00FB00E3" w:rsidRPr="007D1D82">
        <w:rPr>
          <w:rFonts w:eastAsia="Times New Roman" w:cstheme="minorHAnsi"/>
          <w:bCs/>
          <w:i/>
          <w:color w:val="FF0000"/>
          <w:sz w:val="20"/>
          <w:szCs w:val="20"/>
          <w:u w:val="single"/>
          <w:lang w:eastAsia="uk-UA"/>
        </w:rPr>
        <w:t>: цінними паперами та деривативами</w:t>
      </w:r>
      <w:r w:rsidR="00FB00E3" w:rsidRPr="007D1D82">
        <w:rPr>
          <w:rFonts w:eastAsia="Times New Roman" w:cstheme="minorHAnsi"/>
          <w:bCs/>
          <w:color w:val="FF0000"/>
          <w:sz w:val="20"/>
          <w:szCs w:val="20"/>
          <w:u w:val="single"/>
          <w:lang w:eastAsia="uk-UA"/>
        </w:rPr>
        <w:t>)</w:t>
      </w:r>
      <w:r w:rsidR="00810FF2" w:rsidRPr="007D1D82"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uk-UA"/>
        </w:rPr>
        <w:t xml:space="preserve"> для некваліфікованих інвесторів</w:t>
      </w:r>
      <w:r w:rsidR="003B09F6" w:rsidRPr="007D1D82">
        <w:rPr>
          <w:rFonts w:eastAsia="Times New Roman" w:cstheme="minorHAnsi"/>
          <w:color w:val="000000"/>
          <w:sz w:val="20"/>
          <w:szCs w:val="20"/>
          <w:lang w:eastAsia="uk-UA"/>
        </w:rPr>
        <w:t>.</w:t>
      </w:r>
    </w:p>
    <w:p w:rsidR="00E023D1" w:rsidRPr="007D1D82" w:rsidRDefault="00E023D1" w:rsidP="000C74A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uk-UA"/>
        </w:rPr>
      </w:pPr>
    </w:p>
    <w:p w:rsidR="00E023D1" w:rsidRPr="007D1D82" w:rsidRDefault="00E023D1" w:rsidP="00FB00E3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rPr>
          <w:rFonts w:asciiTheme="minorHAnsi" w:hAnsiTheme="minorHAnsi" w:cstheme="minorHAnsi"/>
        </w:rPr>
      </w:pPr>
      <w:r w:rsidRPr="007D1D82">
        <w:rPr>
          <w:rFonts w:asciiTheme="minorHAnsi" w:hAnsiTheme="minorHAnsi" w:cstheme="minorHAnsi"/>
          <w:color w:val="000000"/>
          <w:lang w:eastAsia="uk-UA"/>
        </w:rPr>
        <w:t>Більще того, у</w:t>
      </w:r>
      <w:r w:rsidR="00BB530D" w:rsidRPr="007D1D82">
        <w:rPr>
          <w:rFonts w:asciiTheme="minorHAnsi" w:hAnsiTheme="minorHAnsi" w:cstheme="minorHAnsi"/>
          <w:color w:val="000000"/>
          <w:lang w:eastAsia="uk-UA"/>
        </w:rPr>
        <w:t xml:space="preserve"> </w:t>
      </w:r>
      <w:r w:rsidRPr="007D1D82">
        <w:rPr>
          <w:rFonts w:asciiTheme="minorHAnsi" w:hAnsiTheme="minorHAnsi" w:cstheme="minorHAnsi"/>
          <w:color w:val="000000"/>
          <w:lang w:eastAsia="uk-UA"/>
        </w:rPr>
        <w:t>п.7  ст.37 зазначено – «</w:t>
      </w:r>
      <w:bookmarkStart w:id="1" w:name="n794" w:colFirst="0" w:colLast="0"/>
      <w:r w:rsidRPr="007D1D82">
        <w:rPr>
          <w:rFonts w:asciiTheme="minorHAnsi" w:hAnsiTheme="minorHAnsi" w:cstheme="minorHAnsi"/>
          <w:b/>
          <w:color w:val="FF0000"/>
        </w:rPr>
        <w:t>Правочини щодо фінансових інструментів, вчинені без участі (посередництва) інвестиційної фірми, крім випадків, передбачених частиною шостою цієї статті, є нікчемними</w:t>
      </w:r>
      <w:r w:rsidRPr="007D1D82">
        <w:rPr>
          <w:rFonts w:asciiTheme="minorHAnsi" w:hAnsiTheme="minorHAnsi" w:cstheme="minorHAnsi"/>
        </w:rPr>
        <w:t xml:space="preserve">». </w:t>
      </w:r>
    </w:p>
    <w:p w:rsidR="00FB00E3" w:rsidRPr="007D1D82" w:rsidRDefault="00FB00E3" w:rsidP="00FB00E3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rPr>
          <w:rFonts w:asciiTheme="minorHAnsi" w:hAnsiTheme="minorHAnsi" w:cstheme="minorHAnsi"/>
        </w:rPr>
      </w:pPr>
    </w:p>
    <w:p w:rsidR="00E023D1" w:rsidRPr="007D1D82" w:rsidRDefault="00ED179C" w:rsidP="00FB00E3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rPr>
          <w:rFonts w:asciiTheme="minorHAnsi" w:hAnsiTheme="minorHAnsi" w:cstheme="minorHAnsi"/>
          <w:color w:val="000000"/>
          <w:lang w:eastAsia="uk-UA"/>
        </w:rPr>
      </w:pPr>
      <w:r w:rsidRPr="007D1D82">
        <w:rPr>
          <w:rFonts w:asciiTheme="minorHAnsi" w:hAnsiTheme="minorHAnsi" w:cstheme="minorHAnsi"/>
        </w:rPr>
        <w:t xml:space="preserve">Тобто </w:t>
      </w:r>
      <w:r w:rsidR="00E023D1" w:rsidRPr="007D1D82">
        <w:rPr>
          <w:rFonts w:asciiTheme="minorHAnsi" w:hAnsiTheme="minorHAnsi" w:cstheme="minorHAnsi"/>
        </w:rPr>
        <w:t>фактично всі деривативи, що укладаються на позабіржовому ринку, повинні укладатися виключно за участі посередника – інвестиційної фірми</w:t>
      </w:r>
      <w:bookmarkEnd w:id="1"/>
      <w:r w:rsidR="00E023D1" w:rsidRPr="007D1D82">
        <w:rPr>
          <w:rFonts w:asciiTheme="minorHAnsi" w:hAnsiTheme="minorHAnsi" w:cstheme="minorHAnsi"/>
          <w:color w:val="000000"/>
          <w:lang w:eastAsia="uk-UA"/>
        </w:rPr>
        <w:t xml:space="preserve">. Це стосується і деривативів як звичайних господарських договорів, </w:t>
      </w:r>
      <w:r w:rsidRPr="007D1D82">
        <w:rPr>
          <w:rFonts w:asciiTheme="minorHAnsi" w:hAnsiTheme="minorHAnsi" w:cstheme="minorHAnsi"/>
          <w:color w:val="000000"/>
          <w:lang w:eastAsia="uk-UA"/>
        </w:rPr>
        <w:t xml:space="preserve">а також </w:t>
      </w:r>
      <w:r w:rsidR="00E023D1" w:rsidRPr="007D1D82">
        <w:rPr>
          <w:rFonts w:asciiTheme="minorHAnsi" w:hAnsiTheme="minorHAnsi" w:cstheme="minorHAnsi"/>
          <w:color w:val="000000"/>
          <w:lang w:eastAsia="uk-UA"/>
        </w:rPr>
        <w:t>таких</w:t>
      </w:r>
      <w:r w:rsidRPr="007D1D82">
        <w:rPr>
          <w:rFonts w:asciiTheme="minorHAnsi" w:hAnsiTheme="minorHAnsi" w:cstheme="minorHAnsi"/>
          <w:color w:val="000000"/>
          <w:lang w:eastAsia="uk-UA"/>
        </w:rPr>
        <w:t>, що укл</w:t>
      </w:r>
      <w:r w:rsidR="00E023D1" w:rsidRPr="007D1D82">
        <w:rPr>
          <w:rFonts w:asciiTheme="minorHAnsi" w:hAnsiTheme="minorHAnsi" w:cstheme="minorHAnsi"/>
          <w:color w:val="000000"/>
          <w:lang w:eastAsia="uk-UA"/>
        </w:rPr>
        <w:t>а</w:t>
      </w:r>
      <w:r w:rsidR="00103D60" w:rsidRPr="007D1D82">
        <w:rPr>
          <w:rFonts w:asciiTheme="minorHAnsi" w:hAnsiTheme="minorHAnsi" w:cstheme="minorHAnsi"/>
          <w:color w:val="000000"/>
          <w:lang w:eastAsia="uk-UA"/>
        </w:rPr>
        <w:t>да</w:t>
      </w:r>
      <w:r w:rsidR="00E023D1" w:rsidRPr="007D1D82">
        <w:rPr>
          <w:rFonts w:asciiTheme="minorHAnsi" w:hAnsiTheme="minorHAnsi" w:cstheme="minorHAnsi"/>
          <w:color w:val="000000"/>
          <w:lang w:eastAsia="uk-UA"/>
        </w:rPr>
        <w:t>ються суб</w:t>
      </w:r>
      <w:r w:rsidR="00E023D1" w:rsidRPr="007D1D82">
        <w:rPr>
          <w:rFonts w:asciiTheme="minorHAnsi" w:hAnsiTheme="minorHAnsi" w:cstheme="minorHAnsi"/>
          <w:color w:val="000000"/>
          <w:lang w:val="ru-RU" w:eastAsia="uk-UA"/>
        </w:rPr>
        <w:t>’</w:t>
      </w:r>
      <w:r w:rsidR="00E023D1" w:rsidRPr="007D1D82">
        <w:rPr>
          <w:rFonts w:asciiTheme="minorHAnsi" w:hAnsiTheme="minorHAnsi" w:cstheme="minorHAnsi"/>
          <w:color w:val="000000"/>
          <w:lang w:eastAsia="uk-UA"/>
        </w:rPr>
        <w:t xml:space="preserve">єктами господарювання з метою хеджування. В той час, як </w:t>
      </w:r>
      <w:r w:rsidR="00A07816" w:rsidRPr="007D1D82">
        <w:rPr>
          <w:rFonts w:asciiTheme="minorHAnsi" w:hAnsiTheme="minorHAnsi" w:cstheme="minorHAnsi"/>
          <w:color w:val="000000"/>
          <w:lang w:eastAsia="uk-UA"/>
        </w:rPr>
        <w:t>директиви ЄС говоря</w:t>
      </w:r>
      <w:r w:rsidR="00412DC7" w:rsidRPr="007D1D82">
        <w:rPr>
          <w:rFonts w:asciiTheme="minorHAnsi" w:hAnsiTheme="minorHAnsi" w:cstheme="minorHAnsi"/>
          <w:color w:val="000000"/>
          <w:lang w:eastAsia="uk-UA"/>
        </w:rPr>
        <w:t>ть про протилежне (див. Додаток 2</w:t>
      </w:r>
      <w:r w:rsidR="00A07816" w:rsidRPr="007D1D82">
        <w:rPr>
          <w:rFonts w:asciiTheme="minorHAnsi" w:hAnsiTheme="minorHAnsi" w:cstheme="minorHAnsi"/>
          <w:color w:val="000000"/>
          <w:lang w:eastAsia="uk-UA"/>
        </w:rPr>
        <w:t>).</w:t>
      </w:r>
    </w:p>
    <w:p w:rsidR="00103D60" w:rsidRPr="007D1D82" w:rsidRDefault="00103D60" w:rsidP="008159AE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rPr>
          <w:rFonts w:asciiTheme="minorHAnsi" w:eastAsiaTheme="minorHAnsi" w:hAnsiTheme="minorHAnsi" w:cstheme="minorHAnsi"/>
          <w:lang w:eastAsia="en-US"/>
        </w:rPr>
      </w:pPr>
    </w:p>
    <w:p w:rsidR="00CC2C97" w:rsidRPr="007D1D82" w:rsidRDefault="000C74A4" w:rsidP="008159AE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rPr>
          <w:rFonts w:asciiTheme="minorHAnsi" w:hAnsiTheme="minorHAnsi" w:cstheme="minorHAnsi"/>
        </w:rPr>
      </w:pPr>
      <w:r w:rsidRPr="007D1D82">
        <w:rPr>
          <w:rFonts w:asciiTheme="minorHAnsi" w:hAnsiTheme="minorHAnsi" w:cstheme="minorHAnsi"/>
        </w:rPr>
        <w:t>12) Також</w:t>
      </w:r>
      <w:r w:rsidR="003B09F6" w:rsidRPr="007D1D82">
        <w:rPr>
          <w:rFonts w:asciiTheme="minorHAnsi" w:hAnsiTheme="minorHAnsi" w:cstheme="minorHAnsi"/>
        </w:rPr>
        <w:t xml:space="preserve"> </w:t>
      </w:r>
      <w:r w:rsidR="00CC2C97" w:rsidRPr="007D1D82">
        <w:rPr>
          <w:rFonts w:asciiTheme="minorHAnsi" w:hAnsiTheme="minorHAnsi" w:cstheme="minorHAnsi"/>
        </w:rPr>
        <w:t>«</w:t>
      </w:r>
      <w:r w:rsidR="00CC2C97" w:rsidRPr="007D1D82">
        <w:rPr>
          <w:rFonts w:asciiTheme="minorHAnsi" w:eastAsia="MS Mincho" w:hAnsiTheme="minorHAnsi" w:cstheme="minorHAnsi"/>
          <w:b/>
          <w:color w:val="FF0000"/>
          <w:u w:val="single"/>
          <w:lang w:eastAsia="uk-UA"/>
        </w:rPr>
        <w:t xml:space="preserve">Нормативно-правовими актами </w:t>
      </w:r>
      <w:r w:rsidR="00CC2C97" w:rsidRPr="007D1D82">
        <w:rPr>
          <w:rFonts w:asciiTheme="minorHAnsi" w:hAnsiTheme="minorHAnsi" w:cstheme="minorHAnsi"/>
          <w:b/>
          <w:color w:val="FF0000"/>
          <w:u w:val="single"/>
        </w:rPr>
        <w:t xml:space="preserve">Національної комісії з цінних паперів та фондового ринку </w:t>
      </w:r>
      <w:r w:rsidR="00CC2C97" w:rsidRPr="007D1D82">
        <w:rPr>
          <w:rFonts w:asciiTheme="minorHAnsi" w:eastAsia="MS Mincho" w:hAnsiTheme="minorHAnsi" w:cstheme="minorHAnsi"/>
          <w:b/>
          <w:color w:val="FF0000"/>
          <w:u w:val="single"/>
          <w:lang w:eastAsia="uk-UA"/>
        </w:rPr>
        <w:t>може встановлюватися мінімальний строк між укладенням деривативу та відчуженням базового активу та/або остаточними розрахунками за деривативом.</w:t>
      </w:r>
      <w:r w:rsidR="00CC2C97" w:rsidRPr="007D1D82">
        <w:rPr>
          <w:rFonts w:asciiTheme="minorHAnsi" w:hAnsiTheme="minorHAnsi" w:cstheme="minorHAnsi"/>
        </w:rPr>
        <w:t>»</w:t>
      </w:r>
    </w:p>
    <w:p w:rsidR="003448D4" w:rsidRPr="007D1D82" w:rsidRDefault="003448D4" w:rsidP="008159AE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rPr>
          <w:rFonts w:asciiTheme="minorHAnsi" w:hAnsiTheme="minorHAnsi" w:cstheme="minorHAnsi"/>
        </w:rPr>
      </w:pPr>
    </w:p>
    <w:p w:rsidR="00A943AA" w:rsidRPr="007D1D82" w:rsidRDefault="00A21401" w:rsidP="00A943AA">
      <w:pPr>
        <w:jc w:val="both"/>
        <w:rPr>
          <w:rFonts w:cstheme="minorHAnsi"/>
          <w:sz w:val="20"/>
          <w:szCs w:val="20"/>
        </w:rPr>
      </w:pPr>
      <w:r w:rsidRPr="007D1D82">
        <w:rPr>
          <w:rFonts w:eastAsia="Times New Roman" w:cstheme="minorHAnsi"/>
          <w:sz w:val="20"/>
          <w:szCs w:val="20"/>
          <w:lang w:eastAsia="ru-RU"/>
        </w:rPr>
        <w:t>Крім того,</w:t>
      </w:r>
      <w:r w:rsidR="007016B1" w:rsidRPr="007D1D82">
        <w:rPr>
          <w:rFonts w:cstheme="minorHAnsi"/>
          <w:b/>
          <w:color w:val="FF0000"/>
          <w:sz w:val="20"/>
          <w:szCs w:val="20"/>
        </w:rPr>
        <w:t xml:space="preserve"> необхідно і не забувати, що в «одній зв’язці» з ПЗУ 7055 йде ПЗУ 6303, яким </w:t>
      </w:r>
      <w:r w:rsidR="00A943AA" w:rsidRPr="007D1D82">
        <w:rPr>
          <w:rFonts w:cstheme="minorHAnsi"/>
          <w:b/>
          <w:color w:val="FF0000"/>
          <w:sz w:val="20"/>
          <w:szCs w:val="20"/>
        </w:rPr>
        <w:t xml:space="preserve">планується покласти </w:t>
      </w:r>
      <w:r w:rsidR="00A943AA" w:rsidRPr="007D1D82">
        <w:rPr>
          <w:rFonts w:cstheme="minorHAnsi"/>
          <w:b/>
          <w:color w:val="FF0000"/>
          <w:sz w:val="20"/>
          <w:szCs w:val="20"/>
          <w:u w:val="single"/>
        </w:rPr>
        <w:t>фінансування діяльності і матеріально-технічне забезпечення регулятора на всіх професійних учасників</w:t>
      </w:r>
      <w:r w:rsidR="00A943AA" w:rsidRPr="007D1D82">
        <w:rPr>
          <w:rFonts w:cstheme="minorHAnsi"/>
          <w:b/>
          <w:color w:val="FF0000"/>
          <w:sz w:val="20"/>
          <w:szCs w:val="20"/>
        </w:rPr>
        <w:t>, у тому числі і операторів організованих ринків</w:t>
      </w:r>
      <w:r w:rsidR="00A943AA" w:rsidRPr="007D1D82">
        <w:rPr>
          <w:rFonts w:cstheme="minorHAnsi"/>
          <w:sz w:val="20"/>
          <w:szCs w:val="20"/>
        </w:rPr>
        <w:t xml:space="preserve"> (щорічно </w:t>
      </w:r>
      <w:r w:rsidR="00873DC7" w:rsidRPr="007D1D82">
        <w:rPr>
          <w:rFonts w:cstheme="minorHAnsi"/>
          <w:sz w:val="20"/>
          <w:szCs w:val="20"/>
        </w:rPr>
        <w:t>–</w:t>
      </w:r>
      <w:r w:rsidR="00A943AA" w:rsidRPr="007D1D82">
        <w:rPr>
          <w:rFonts w:cstheme="minorHAnsi"/>
          <w:sz w:val="20"/>
          <w:szCs w:val="20"/>
        </w:rPr>
        <w:t xml:space="preserve"> від 100 Мінімальних зарплат до 3,5% середнього за 3 роки сукупного доходу від операцій з цінними паперами та іншими фінансовими інструментами, але не менше 2 560 000 грн.). В разі прийняття ПЗУ 7055 ця вимога буде поширюватися і </w:t>
      </w:r>
      <w:r w:rsidR="00563765">
        <w:rPr>
          <w:rFonts w:cstheme="minorHAnsi"/>
          <w:sz w:val="20"/>
          <w:szCs w:val="20"/>
        </w:rPr>
        <w:t xml:space="preserve">на </w:t>
      </w:r>
      <w:r w:rsidR="00A943AA" w:rsidRPr="007D1D82">
        <w:rPr>
          <w:rFonts w:cstheme="minorHAnsi"/>
          <w:sz w:val="20"/>
          <w:szCs w:val="20"/>
        </w:rPr>
        <w:t xml:space="preserve">операторів </w:t>
      </w:r>
      <w:r w:rsidR="00715000" w:rsidRPr="007D1D82">
        <w:rPr>
          <w:rFonts w:cstheme="minorHAnsi"/>
          <w:sz w:val="20"/>
          <w:szCs w:val="20"/>
        </w:rPr>
        <w:t xml:space="preserve">організованих </w:t>
      </w:r>
      <w:r w:rsidR="00A943AA" w:rsidRPr="007D1D82">
        <w:rPr>
          <w:rFonts w:cstheme="minorHAnsi"/>
          <w:sz w:val="20"/>
          <w:szCs w:val="20"/>
        </w:rPr>
        <w:t>товарних ринків.</w:t>
      </w:r>
    </w:p>
    <w:p w:rsidR="001243B0" w:rsidRPr="00BA35ED" w:rsidRDefault="001243B0" w:rsidP="001243B0">
      <w:pPr>
        <w:spacing w:after="0"/>
        <w:jc w:val="both"/>
        <w:rPr>
          <w:rFonts w:eastAsia="Times New Roman" w:cstheme="minorHAnsi"/>
          <w:b/>
          <w:color w:val="FF0000"/>
          <w:sz w:val="20"/>
          <w:szCs w:val="20"/>
          <w:u w:val="single"/>
          <w:lang w:eastAsia="uk-UA"/>
        </w:rPr>
      </w:pPr>
      <w:r w:rsidRPr="00BA35ED">
        <w:rPr>
          <w:rFonts w:cstheme="minorHAnsi"/>
          <w:color w:val="FF0000"/>
          <w:sz w:val="20"/>
          <w:szCs w:val="20"/>
        </w:rPr>
        <w:t xml:space="preserve">Таким чином, </w:t>
      </w:r>
      <w:r w:rsidRPr="00BA35ED">
        <w:rPr>
          <w:rFonts w:eastAsia="Times New Roman" w:cstheme="minorHAnsi"/>
          <w:b/>
          <w:color w:val="FF0000"/>
          <w:sz w:val="20"/>
          <w:szCs w:val="20"/>
          <w:lang w:eastAsia="uk-UA"/>
        </w:rPr>
        <w:t>положення законопроекту:</w:t>
      </w:r>
    </w:p>
    <w:p w:rsidR="001243B0" w:rsidRPr="007D1D82" w:rsidRDefault="001243B0" w:rsidP="001243B0">
      <w:pPr>
        <w:spacing w:after="0"/>
        <w:jc w:val="both"/>
        <w:rPr>
          <w:rFonts w:eastAsia="Times New Roman" w:cstheme="minorHAnsi"/>
          <w:sz w:val="20"/>
          <w:szCs w:val="20"/>
          <w:lang w:eastAsia="uk-UA"/>
        </w:rPr>
      </w:pPr>
    </w:p>
    <w:p w:rsidR="001243B0" w:rsidRPr="007D1D82" w:rsidRDefault="001243B0" w:rsidP="001243B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BA35ED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uk-UA"/>
        </w:rPr>
        <w:t>не відповідають</w:t>
      </w:r>
      <w:r w:rsidR="00931C01" w:rsidRPr="00BA35ED">
        <w:rPr>
          <w:rFonts w:asciiTheme="minorHAnsi" w:eastAsia="Times New Roman" w:hAnsiTheme="minorHAnsi" w:cstheme="minorHAnsi"/>
          <w:color w:val="FF0000"/>
          <w:sz w:val="20"/>
          <w:szCs w:val="20"/>
          <w:lang w:eastAsia="uk-UA"/>
        </w:rPr>
        <w:t xml:space="preserve"> </w:t>
      </w:r>
      <w:r w:rsidR="00931C01">
        <w:rPr>
          <w:rFonts w:asciiTheme="minorHAnsi" w:eastAsia="Times New Roman" w:hAnsiTheme="minorHAnsi" w:cstheme="minorHAnsi"/>
          <w:sz w:val="20"/>
          <w:szCs w:val="20"/>
          <w:lang w:eastAsia="uk-UA"/>
        </w:rPr>
        <w:t>в повній мірі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 нормативним актам ЄС (директивам та регламентам), відповідно до яких згідно Пояснювальної записки розроблявся проект Закону України №7055</w:t>
      </w:r>
      <w:r w:rsidR="00931C01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, та </w:t>
      </w:r>
      <w:r w:rsidR="009A3FD5">
        <w:rPr>
          <w:rFonts w:asciiTheme="minorHAnsi" w:eastAsia="Times New Roman" w:hAnsiTheme="minorHAnsi" w:cstheme="minorHAnsi"/>
          <w:sz w:val="20"/>
          <w:szCs w:val="20"/>
          <w:lang w:eastAsia="uk-UA"/>
        </w:rPr>
        <w:t>найкращому міжнародному досвіду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;</w:t>
      </w:r>
    </w:p>
    <w:p w:rsidR="001243B0" w:rsidRPr="007D1D82" w:rsidRDefault="001243B0" w:rsidP="001243B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BA35ED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uk-UA"/>
        </w:rPr>
        <w:t>не враховують</w:t>
      </w:r>
      <w:r w:rsidRPr="00BA35ED">
        <w:rPr>
          <w:rFonts w:asciiTheme="minorHAnsi" w:eastAsia="Times New Roman" w:hAnsiTheme="minorHAnsi" w:cstheme="minorHAnsi"/>
          <w:color w:val="FF0000"/>
          <w:sz w:val="20"/>
          <w:szCs w:val="20"/>
          <w:lang w:eastAsia="uk-UA"/>
        </w:rPr>
        <w:t xml:space="preserve"> 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реальний стан економічних відносин та рівень розвитку біржових та позабіржових ринків, що мають місце сьогодні у суспільстві;</w:t>
      </w:r>
    </w:p>
    <w:p w:rsidR="001243B0" w:rsidRPr="007D1D82" w:rsidRDefault="001243B0" w:rsidP="001243B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та аж ніяк </w:t>
      </w:r>
      <w:r w:rsidRPr="00BA35ED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uk-UA"/>
        </w:rPr>
        <w:t>не сприятимуть</w:t>
      </w:r>
      <w:r w:rsidRPr="00BA35ED">
        <w:rPr>
          <w:rFonts w:asciiTheme="minorHAnsi" w:eastAsia="Times New Roman" w:hAnsiTheme="minorHAnsi" w:cstheme="minorHAnsi"/>
          <w:color w:val="FF0000"/>
          <w:sz w:val="20"/>
          <w:szCs w:val="20"/>
          <w:lang w:eastAsia="uk-UA"/>
        </w:rPr>
        <w:t xml:space="preserve"> 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підвищенню ефективності діяльності бізнесу з реального сектору економіки, зниженню операційних витрат, здійсненню операцій хеджування (зауважимо, що </w:t>
      </w:r>
      <w:r w:rsidRPr="007D1D82">
        <w:rPr>
          <w:rFonts w:asciiTheme="minorHAnsi" w:hAnsiTheme="minorHAnsi" w:cstheme="minorHAnsi"/>
          <w:sz w:val="20"/>
          <w:szCs w:val="20"/>
        </w:rPr>
        <w:t>сьогодні немає перепон для укладання деривативів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), а й відтак й отриманню позичкових коштів за більш сприятливими відсотками та зростанню</w:t>
      </w:r>
      <w:r w:rsidR="00CA18C1"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 надійності банківської системи;</w:t>
      </w:r>
    </w:p>
    <w:p w:rsidR="00CA18C1" w:rsidRPr="007D1D82" w:rsidRDefault="00CA18C1" w:rsidP="001243B0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призведуть </w:t>
      </w:r>
      <w:r w:rsidRPr="00BA35ED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uk-UA"/>
        </w:rPr>
        <w:t>до зростання витрат бізнесу з реального сектору економіки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 та </w:t>
      </w:r>
      <w:r w:rsidRPr="00BA35ED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uk-UA"/>
        </w:rPr>
        <w:t>відходу позабіржових деривативів у «тінь»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, </w:t>
      </w:r>
      <w:r w:rsidR="00974617">
        <w:rPr>
          <w:rFonts w:asciiTheme="minorHAnsi" w:eastAsia="Times New Roman" w:hAnsiTheme="minorHAnsi" w:cstheme="minorHAnsi"/>
          <w:sz w:val="20"/>
          <w:szCs w:val="20"/>
          <w:lang w:eastAsia="uk-UA"/>
        </w:rPr>
        <w:t>коли суб</w:t>
      </w:r>
      <w:r w:rsidR="00974617" w:rsidRPr="00974617">
        <w:rPr>
          <w:rFonts w:asciiTheme="minorHAnsi" w:eastAsia="Times New Roman" w:hAnsiTheme="minorHAnsi" w:cstheme="minorHAnsi"/>
          <w:sz w:val="20"/>
          <w:szCs w:val="20"/>
          <w:lang w:val="ru-RU" w:eastAsia="uk-UA"/>
        </w:rPr>
        <w:t>’</w:t>
      </w:r>
      <w:r w:rsidR="00974617">
        <w:rPr>
          <w:rFonts w:asciiTheme="minorHAnsi" w:eastAsia="Times New Roman" w:hAnsiTheme="minorHAnsi" w:cstheme="minorHAnsi"/>
          <w:sz w:val="20"/>
          <w:szCs w:val="20"/>
          <w:lang w:eastAsia="uk-UA"/>
        </w:rPr>
        <w:t>єкти господарювання називатимуть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 контракти</w:t>
      </w:r>
      <w:r w:rsidR="00974617">
        <w:rPr>
          <w:rFonts w:asciiTheme="minorHAnsi" w:eastAsia="Times New Roman" w:hAnsiTheme="minorHAnsi" w:cstheme="minorHAnsi"/>
          <w:sz w:val="20"/>
          <w:szCs w:val="20"/>
          <w:lang w:eastAsia="uk-UA"/>
        </w:rPr>
        <w:t>, укладені на умовах того чи іншого деривативу,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 у будь-який інший спосіб, </w:t>
      </w:r>
      <w:r w:rsidR="00974617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аби 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тільки не «форвард», «своп», «опціон» тощо.</w:t>
      </w:r>
    </w:p>
    <w:p w:rsidR="00A943AA" w:rsidRPr="007D1D82" w:rsidRDefault="00A07816">
      <w:pPr>
        <w:rPr>
          <w:rFonts w:cstheme="minorHAnsi"/>
          <w:sz w:val="20"/>
          <w:szCs w:val="20"/>
        </w:rPr>
      </w:pPr>
      <w:r w:rsidRPr="007D1D82">
        <w:rPr>
          <w:rFonts w:cstheme="minorHAnsi"/>
          <w:sz w:val="20"/>
          <w:szCs w:val="20"/>
        </w:rPr>
        <w:br w:type="page"/>
      </w:r>
    </w:p>
    <w:p w:rsidR="00A943AA" w:rsidRPr="007D1D82" w:rsidRDefault="00A943AA">
      <w:pPr>
        <w:rPr>
          <w:rFonts w:cstheme="minorHAnsi"/>
          <w:sz w:val="20"/>
          <w:szCs w:val="20"/>
        </w:rPr>
      </w:pPr>
    </w:p>
    <w:p w:rsidR="000C74A4" w:rsidRPr="00F07FCE" w:rsidRDefault="00A07816" w:rsidP="00A07816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jc w:val="right"/>
        <w:rPr>
          <w:rFonts w:asciiTheme="minorHAnsi" w:hAnsiTheme="minorHAnsi" w:cstheme="minorHAnsi"/>
          <w:b/>
        </w:rPr>
      </w:pPr>
      <w:r w:rsidRPr="00F07FCE">
        <w:rPr>
          <w:rFonts w:asciiTheme="minorHAnsi" w:hAnsiTheme="minorHAnsi" w:cstheme="minorHAnsi"/>
          <w:b/>
        </w:rPr>
        <w:t>Додаток 1</w:t>
      </w:r>
    </w:p>
    <w:p w:rsidR="00EC57BF" w:rsidRPr="007D1D82" w:rsidRDefault="00EC57BF" w:rsidP="00EC57BF">
      <w:pPr>
        <w:spacing w:after="0"/>
        <w:jc w:val="center"/>
        <w:rPr>
          <w:rFonts w:eastAsia="Times New Roman" w:cstheme="minorHAnsi"/>
          <w:b/>
          <w:sz w:val="20"/>
          <w:szCs w:val="20"/>
          <w:lang w:eastAsia="uk-UA"/>
        </w:rPr>
      </w:pPr>
      <w:r w:rsidRPr="007D1D82">
        <w:rPr>
          <w:rFonts w:eastAsia="Times New Roman" w:cstheme="minorHAnsi"/>
          <w:b/>
          <w:sz w:val="20"/>
          <w:szCs w:val="20"/>
          <w:lang w:eastAsia="uk-UA"/>
        </w:rPr>
        <w:t>Щодо заборони виконання біржами функцій центрального контрагента</w:t>
      </w:r>
    </w:p>
    <w:p w:rsidR="00EC57BF" w:rsidRPr="007D1D82" w:rsidRDefault="00EC57BF" w:rsidP="00EC57BF">
      <w:pPr>
        <w:spacing w:after="0"/>
        <w:jc w:val="both"/>
        <w:rPr>
          <w:rFonts w:eastAsia="Times New Roman" w:cstheme="minorHAnsi"/>
          <w:b/>
          <w:sz w:val="20"/>
          <w:szCs w:val="20"/>
          <w:lang w:eastAsia="uk-UA"/>
        </w:rPr>
      </w:pPr>
    </w:p>
    <w:p w:rsidR="002609D3" w:rsidRPr="007D1D82" w:rsidRDefault="00394408" w:rsidP="00EC57BF">
      <w:pPr>
        <w:pStyle w:val="a3"/>
        <w:spacing w:after="0"/>
        <w:ind w:left="0"/>
        <w:jc w:val="both"/>
        <w:rPr>
          <w:rFonts w:asciiTheme="minorHAnsi" w:eastAsia="Futuris-Bold" w:hAnsiTheme="minorHAnsi" w:cstheme="minorHAnsi"/>
          <w:sz w:val="20"/>
          <w:szCs w:val="20"/>
          <w:lang w:eastAsia="ru-RU"/>
        </w:rPr>
      </w:pPr>
      <w:r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>Центральні контрагенти</w:t>
      </w:r>
      <w:r w:rsidR="00EC57BF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 xml:space="preserve"> тісно взаємопов’язані з біржами – і технічно, і технологічно, а також 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щільно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взаємодіють у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частині управління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ризиками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,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здійснюючи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в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режимі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реального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часу</w:t>
      </w:r>
      <w:r w:rsidR="00EC57BF"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="00EC57BF" w:rsidRPr="007D1D82">
        <w:rPr>
          <w:rStyle w:val="hps"/>
          <w:rFonts w:asciiTheme="minorHAnsi" w:hAnsiTheme="minorHAnsi" w:cstheme="minorHAnsi"/>
          <w:sz w:val="20"/>
          <w:szCs w:val="20"/>
        </w:rPr>
        <w:t>кліринг</w:t>
      </w:r>
      <w:r w:rsidR="00EC57BF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 xml:space="preserve"> і управління фінансовими ризиками. </w:t>
      </w:r>
      <w:r w:rsidR="00EC57BF" w:rsidRPr="007D1D82">
        <w:rPr>
          <w:rFonts w:asciiTheme="minorHAnsi" w:eastAsia="Futuris-Bold" w:hAnsiTheme="minorHAnsi" w:cstheme="minorHAnsi"/>
          <w:b/>
          <w:sz w:val="20"/>
          <w:szCs w:val="20"/>
          <w:lang w:eastAsia="ru-RU"/>
        </w:rPr>
        <w:t>Не існує абстрактного центрального контрагенту – так або інакше центральний контрактант як інститут з’явився на потреби біржового ринку</w:t>
      </w:r>
      <w:r w:rsidR="00EC57BF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 xml:space="preserve">. </w:t>
      </w:r>
      <w:r w:rsidR="00896150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>Засновниками, учасниками, а</w:t>
      </w:r>
      <w:r w:rsidR="00EC57BF" w:rsidRPr="007D1D82">
        <w:rPr>
          <w:rFonts w:asciiTheme="minorHAnsi" w:eastAsia="Futuris-Bold" w:hAnsiTheme="minorHAnsi" w:cstheme="minorHAnsi"/>
          <w:color w:val="000000"/>
          <w:sz w:val="20"/>
          <w:szCs w:val="20"/>
          <w:lang w:eastAsia="ru-RU"/>
        </w:rPr>
        <w:t xml:space="preserve">кціонерами центральних контрагентів, </w:t>
      </w:r>
      <w:r w:rsidR="00EC57BF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 xml:space="preserve">головним чином, є біржі та (або) </w:t>
      </w:r>
      <w:r w:rsidR="006523AF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>клірингові члени</w:t>
      </w:r>
      <w:r w:rsidR="00EC57BF"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 xml:space="preserve">, які є користувачами послуг центрального контрагента. </w:t>
      </w:r>
    </w:p>
    <w:p w:rsidR="002609D3" w:rsidRPr="007D1D82" w:rsidRDefault="002609D3" w:rsidP="00EC57BF">
      <w:pPr>
        <w:pStyle w:val="a3"/>
        <w:spacing w:after="0"/>
        <w:ind w:left="0"/>
        <w:jc w:val="both"/>
        <w:rPr>
          <w:rFonts w:asciiTheme="minorHAnsi" w:eastAsia="Futuris-Bold" w:hAnsiTheme="minorHAnsi" w:cstheme="minorHAnsi"/>
          <w:sz w:val="20"/>
          <w:szCs w:val="20"/>
          <w:lang w:eastAsia="ru-RU"/>
        </w:rPr>
      </w:pPr>
    </w:p>
    <w:p w:rsidR="002609D3" w:rsidRPr="007D1D82" w:rsidRDefault="00EC57BF" w:rsidP="002609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hps"/>
          <w:rFonts w:cstheme="minorHAnsi"/>
          <w:sz w:val="20"/>
          <w:szCs w:val="20"/>
        </w:rPr>
      </w:pPr>
      <w:r w:rsidRPr="007D1D82">
        <w:rPr>
          <w:rFonts w:eastAsia="Futuris-Bold" w:cstheme="minorHAnsi"/>
          <w:sz w:val="20"/>
          <w:szCs w:val="20"/>
          <w:lang w:eastAsia="ru-RU"/>
        </w:rPr>
        <w:t xml:space="preserve">Наприклад, </w:t>
      </w:r>
      <w:r w:rsidR="002609D3" w:rsidRPr="007D1D82">
        <w:rPr>
          <w:rFonts w:eastAsia="Futuris-Bold" w:cstheme="minorHAnsi"/>
          <w:b/>
          <w:sz w:val="20"/>
          <w:szCs w:val="20"/>
          <w:lang w:val="en-US" w:eastAsia="ru-RU"/>
        </w:rPr>
        <w:t>LCH</w:t>
      </w:r>
      <w:r w:rsidR="002609D3" w:rsidRPr="007D1D82">
        <w:rPr>
          <w:rFonts w:eastAsia="Futuris-Bold" w:cstheme="minorHAnsi"/>
          <w:b/>
          <w:sz w:val="20"/>
          <w:szCs w:val="20"/>
          <w:lang w:eastAsia="ru-RU"/>
        </w:rPr>
        <w:t>.</w:t>
      </w:r>
      <w:r w:rsidR="002609D3" w:rsidRPr="007D1D82">
        <w:rPr>
          <w:rFonts w:eastAsia="Futuris-Bold" w:cstheme="minorHAnsi"/>
          <w:b/>
          <w:sz w:val="20"/>
          <w:szCs w:val="20"/>
          <w:lang w:val="en-US" w:eastAsia="ru-RU"/>
        </w:rPr>
        <w:t>Clearnet</w:t>
      </w:r>
      <w:r w:rsidR="002609D3" w:rsidRPr="007D1D82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="002609D3" w:rsidRPr="007D1D82">
        <w:rPr>
          <w:rFonts w:eastAsia="Futuris-Bold" w:cstheme="minorHAnsi"/>
          <w:b/>
          <w:sz w:val="20"/>
          <w:szCs w:val="20"/>
          <w:lang w:val="en-US" w:eastAsia="ru-RU"/>
        </w:rPr>
        <w:t>SA</w:t>
      </w:r>
      <w:r w:rsidR="002609D3" w:rsidRPr="007D1D82">
        <w:rPr>
          <w:rFonts w:eastAsia="Futuris-Bold" w:cstheme="minorHAnsi"/>
          <w:sz w:val="20"/>
          <w:szCs w:val="20"/>
          <w:lang w:eastAsia="ru-RU"/>
        </w:rPr>
        <w:t xml:space="preserve"> та </w:t>
      </w:r>
      <w:r w:rsidR="002609D3" w:rsidRPr="007D1D82">
        <w:rPr>
          <w:rFonts w:eastAsia="Futuris-Bold" w:cstheme="minorHAnsi"/>
          <w:b/>
          <w:sz w:val="20"/>
          <w:szCs w:val="20"/>
          <w:lang w:val="en-US" w:eastAsia="ru-RU"/>
        </w:rPr>
        <w:t>LCH</w:t>
      </w:r>
      <w:r w:rsidR="002609D3" w:rsidRPr="007D1D82">
        <w:rPr>
          <w:rFonts w:eastAsia="Futuris-Bold" w:cstheme="minorHAnsi"/>
          <w:b/>
          <w:sz w:val="20"/>
          <w:szCs w:val="20"/>
          <w:lang w:eastAsia="ru-RU"/>
        </w:rPr>
        <w:t>.</w:t>
      </w:r>
      <w:r w:rsidR="002609D3" w:rsidRPr="007D1D82">
        <w:rPr>
          <w:rFonts w:eastAsia="Futuris-Bold" w:cstheme="minorHAnsi"/>
          <w:b/>
          <w:sz w:val="20"/>
          <w:szCs w:val="20"/>
          <w:lang w:val="en-US" w:eastAsia="ru-RU"/>
        </w:rPr>
        <w:t>Clearnet</w:t>
      </w:r>
      <w:r w:rsidR="002609D3" w:rsidRPr="007D1D82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="002609D3" w:rsidRPr="007D1D82">
        <w:rPr>
          <w:rFonts w:eastAsia="Futuris-Bold" w:cstheme="minorHAnsi"/>
          <w:b/>
          <w:sz w:val="20"/>
          <w:szCs w:val="20"/>
          <w:lang w:val="en-US" w:eastAsia="ru-RU"/>
        </w:rPr>
        <w:t>Ltd</w:t>
      </w:r>
      <w:r w:rsidR="002609D3" w:rsidRPr="007D1D82">
        <w:rPr>
          <w:rFonts w:eastAsia="Futuris-Bold" w:cstheme="minorHAnsi"/>
          <w:sz w:val="20"/>
          <w:szCs w:val="20"/>
          <w:lang w:eastAsia="ru-RU"/>
        </w:rPr>
        <w:t xml:space="preserve"> входять до складу  холдингу LCH.Clearnet Group Ltd, </w:t>
      </w:r>
      <w:r w:rsidR="002609D3" w:rsidRPr="007D1D82">
        <w:rPr>
          <w:rStyle w:val="hps"/>
          <w:rFonts w:cstheme="minorHAnsi"/>
          <w:sz w:val="20"/>
          <w:szCs w:val="20"/>
        </w:rPr>
        <w:t>утворення якого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було</w:t>
      </w:r>
      <w:r w:rsidR="002609D3" w:rsidRPr="007D1D82">
        <w:rPr>
          <w:rFonts w:cstheme="minorHAnsi"/>
          <w:sz w:val="20"/>
          <w:szCs w:val="20"/>
        </w:rPr>
        <w:t xml:space="preserve"> також </w:t>
      </w:r>
      <w:r w:rsidR="002609D3" w:rsidRPr="007D1D82">
        <w:rPr>
          <w:rStyle w:val="hps"/>
          <w:rFonts w:cstheme="minorHAnsi"/>
          <w:sz w:val="20"/>
          <w:szCs w:val="20"/>
        </w:rPr>
        <w:t>результатом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багатьох процесів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консолідації.</w:t>
      </w:r>
      <w:r w:rsidR="002609D3" w:rsidRPr="007D1D82">
        <w:rPr>
          <w:rFonts w:eastAsia="Futuris-Bold" w:cstheme="minorHAnsi"/>
          <w:sz w:val="20"/>
          <w:szCs w:val="20"/>
          <w:lang w:eastAsia="ru-RU"/>
        </w:rPr>
        <w:t xml:space="preserve"> </w:t>
      </w:r>
      <w:r w:rsidR="002609D3" w:rsidRPr="007D1D82">
        <w:rPr>
          <w:rFonts w:cstheme="minorHAnsi"/>
          <w:b/>
          <w:sz w:val="20"/>
          <w:szCs w:val="20"/>
        </w:rPr>
        <w:t>57% акцій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LCH.Clearnet Group Ltd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належать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Fonts w:cstheme="minorHAnsi"/>
          <w:b/>
          <w:sz w:val="20"/>
          <w:szCs w:val="20"/>
          <w:lang w:val="en-US"/>
        </w:rPr>
        <w:t>London</w:t>
      </w:r>
      <w:r w:rsidR="002609D3" w:rsidRPr="007D1D82">
        <w:rPr>
          <w:rFonts w:cstheme="minorHAnsi"/>
          <w:b/>
          <w:sz w:val="20"/>
          <w:szCs w:val="20"/>
        </w:rPr>
        <w:t xml:space="preserve"> </w:t>
      </w:r>
      <w:r w:rsidR="002609D3" w:rsidRPr="007D1D82">
        <w:rPr>
          <w:rFonts w:cstheme="minorHAnsi"/>
          <w:b/>
          <w:sz w:val="20"/>
          <w:szCs w:val="20"/>
          <w:lang w:val="en-US"/>
        </w:rPr>
        <w:t>Stock</w:t>
      </w:r>
      <w:r w:rsidR="002609D3" w:rsidRPr="007D1D82">
        <w:rPr>
          <w:rFonts w:cstheme="minorHAnsi"/>
          <w:b/>
          <w:sz w:val="20"/>
          <w:szCs w:val="20"/>
        </w:rPr>
        <w:t xml:space="preserve"> </w:t>
      </w:r>
      <w:r w:rsidR="002609D3" w:rsidRPr="007D1D82">
        <w:rPr>
          <w:rFonts w:cstheme="minorHAnsi"/>
          <w:b/>
          <w:sz w:val="20"/>
          <w:szCs w:val="20"/>
          <w:lang w:val="en-US"/>
        </w:rPr>
        <w:t>Exchange</w:t>
      </w:r>
      <w:r w:rsidR="002609D3" w:rsidRPr="007D1D82">
        <w:rPr>
          <w:rFonts w:cstheme="minorHAnsi"/>
          <w:b/>
          <w:sz w:val="20"/>
          <w:szCs w:val="20"/>
        </w:rPr>
        <w:t xml:space="preserve"> </w:t>
      </w:r>
      <w:r w:rsidR="002609D3" w:rsidRPr="007D1D82">
        <w:rPr>
          <w:rFonts w:cstheme="minorHAnsi"/>
          <w:b/>
          <w:sz w:val="20"/>
          <w:szCs w:val="20"/>
          <w:lang w:val="en-US"/>
        </w:rPr>
        <w:t>Group</w:t>
      </w:r>
      <w:r w:rsidR="002609D3" w:rsidRPr="007D1D82">
        <w:rPr>
          <w:rFonts w:cstheme="minorHAnsi"/>
          <w:b/>
          <w:sz w:val="20"/>
          <w:szCs w:val="20"/>
        </w:rPr>
        <w:t xml:space="preserve"> </w:t>
      </w:r>
      <w:r w:rsidR="002609D3" w:rsidRPr="007D1D82">
        <w:rPr>
          <w:rFonts w:cstheme="minorHAnsi"/>
          <w:b/>
          <w:sz w:val="20"/>
          <w:szCs w:val="20"/>
          <w:lang w:val="en-US"/>
        </w:rPr>
        <w:t>Ltd</w:t>
      </w:r>
      <w:r w:rsidR="002609D3" w:rsidRPr="007D1D82">
        <w:rPr>
          <w:rFonts w:cstheme="minorHAnsi"/>
          <w:sz w:val="20"/>
          <w:szCs w:val="20"/>
        </w:rPr>
        <w:t xml:space="preserve"> (</w:t>
      </w:r>
      <w:r w:rsidR="002609D3" w:rsidRPr="007D1D82">
        <w:rPr>
          <w:rFonts w:cstheme="minorHAnsi"/>
          <w:sz w:val="20"/>
          <w:szCs w:val="20"/>
          <w:lang w:val="en-US"/>
        </w:rPr>
        <w:t>LSEG</w:t>
      </w:r>
      <w:r w:rsidR="002609D3" w:rsidRPr="007D1D82">
        <w:rPr>
          <w:rFonts w:cstheme="minorHAnsi"/>
          <w:sz w:val="20"/>
          <w:szCs w:val="20"/>
        </w:rPr>
        <w:t xml:space="preserve">), яка придбала </w:t>
      </w:r>
      <w:r w:rsidR="002609D3" w:rsidRPr="007D1D82">
        <w:rPr>
          <w:rStyle w:val="hps"/>
          <w:rFonts w:cstheme="minorHAnsi"/>
          <w:sz w:val="20"/>
          <w:szCs w:val="20"/>
        </w:rPr>
        <w:t>LCH.Clearnet Group Ltd</w:t>
      </w:r>
      <w:r w:rsidR="002609D3" w:rsidRPr="007D1D82">
        <w:rPr>
          <w:rFonts w:cstheme="minorHAnsi"/>
          <w:sz w:val="20"/>
          <w:szCs w:val="20"/>
        </w:rPr>
        <w:t xml:space="preserve"> в травні 2014 року; інша  </w:t>
      </w:r>
      <w:r w:rsidR="002609D3" w:rsidRPr="007D1D82">
        <w:rPr>
          <w:rStyle w:val="hps"/>
          <w:rFonts w:cstheme="minorHAnsi"/>
          <w:sz w:val="20"/>
          <w:szCs w:val="20"/>
        </w:rPr>
        <w:t>частина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належить її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користувачам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(тобто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кліринговим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членам)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та іншим</w:t>
      </w:r>
      <w:r w:rsidR="002609D3" w:rsidRPr="007D1D82">
        <w:rPr>
          <w:rFonts w:cstheme="minorHAnsi"/>
          <w:sz w:val="20"/>
          <w:szCs w:val="20"/>
        </w:rPr>
        <w:t xml:space="preserve"> </w:t>
      </w:r>
      <w:r w:rsidR="002609D3" w:rsidRPr="007D1D82">
        <w:rPr>
          <w:rStyle w:val="hps"/>
          <w:rFonts w:cstheme="minorHAnsi"/>
          <w:sz w:val="20"/>
          <w:szCs w:val="20"/>
        </w:rPr>
        <w:t>біржам.</w:t>
      </w:r>
    </w:p>
    <w:p w:rsidR="002609D3" w:rsidRPr="007D1D82" w:rsidRDefault="002609D3" w:rsidP="002609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</w:p>
    <w:p w:rsidR="002609D3" w:rsidRPr="007D1D82" w:rsidRDefault="002609D3" w:rsidP="002609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  <w:r w:rsidRPr="007D1D82">
        <w:rPr>
          <w:rFonts w:eastAsia="Futuris-Bold" w:cstheme="minorHAnsi"/>
          <w:sz w:val="20"/>
          <w:szCs w:val="20"/>
          <w:lang w:eastAsia="ru-RU"/>
        </w:rPr>
        <w:t xml:space="preserve">До 2008 року LCH.Clearnet Ltd також була центральним контрагентом за угодами за деривативами, які укладалися на  європейському ринку енергетичних ф’ючерсів біржі </w:t>
      </w:r>
      <w:r w:rsidRPr="007D1D82">
        <w:rPr>
          <w:rFonts w:eastAsia="Futuris-Bold" w:cstheme="minorHAnsi"/>
          <w:sz w:val="20"/>
          <w:szCs w:val="20"/>
          <w:lang w:val="en-US" w:eastAsia="ru-RU"/>
        </w:rPr>
        <w:t>Intercontinental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 </w:t>
      </w:r>
      <w:r w:rsidRPr="007D1D82">
        <w:rPr>
          <w:rFonts w:eastAsia="Futuris-Bold" w:cstheme="minorHAnsi"/>
          <w:sz w:val="20"/>
          <w:szCs w:val="20"/>
          <w:lang w:val="en-US" w:eastAsia="ru-RU"/>
        </w:rPr>
        <w:t>Exchange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 </w:t>
      </w:r>
      <w:r w:rsidRPr="007D1D82">
        <w:rPr>
          <w:rFonts w:eastAsia="Futuris-Bold" w:cstheme="minorHAnsi"/>
          <w:sz w:val="20"/>
          <w:szCs w:val="20"/>
          <w:lang w:val="en-US" w:eastAsia="ru-RU"/>
        </w:rPr>
        <w:t>Inc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. в Лондоні -  </w:t>
      </w:r>
      <w:r w:rsidRPr="00DE1F0E">
        <w:rPr>
          <w:rFonts w:eastAsia="Futuris-Bold" w:cstheme="minorHAnsi"/>
          <w:b/>
          <w:sz w:val="20"/>
          <w:szCs w:val="20"/>
          <w:lang w:val="en-US" w:eastAsia="ru-RU"/>
        </w:rPr>
        <w:t>ICE</w:t>
      </w:r>
      <w:r w:rsidRPr="00DE1F0E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Pr="00DE1F0E">
        <w:rPr>
          <w:rFonts w:eastAsia="Futuris-Bold" w:cstheme="minorHAnsi"/>
          <w:b/>
          <w:sz w:val="20"/>
          <w:szCs w:val="20"/>
          <w:lang w:val="en-US" w:eastAsia="ru-RU"/>
        </w:rPr>
        <w:t>Futures</w:t>
      </w:r>
      <w:r w:rsidRPr="00DE1F0E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Pr="00DE1F0E">
        <w:rPr>
          <w:rFonts w:eastAsia="Futuris-Bold" w:cstheme="minorHAnsi"/>
          <w:b/>
          <w:sz w:val="20"/>
          <w:szCs w:val="20"/>
          <w:lang w:val="en-US" w:eastAsia="ru-RU"/>
        </w:rPr>
        <w:t>Europe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. У 2008 році ІСЕ </w:t>
      </w:r>
      <w:r w:rsidRPr="007D1D82">
        <w:rPr>
          <w:rFonts w:eastAsia="Futuris-Bold" w:cstheme="minorHAnsi"/>
          <w:sz w:val="20"/>
          <w:szCs w:val="20"/>
          <w:lang w:val="en-US" w:eastAsia="ru-RU"/>
        </w:rPr>
        <w:t>Group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  перевела ринок на обслуговування до клірингової організації </w:t>
      </w:r>
      <w:r w:rsidRPr="007D1D82">
        <w:rPr>
          <w:rFonts w:eastAsia="Futuris-Bold" w:cstheme="minorHAnsi"/>
          <w:b/>
          <w:sz w:val="20"/>
          <w:szCs w:val="20"/>
          <w:lang w:val="en-US" w:eastAsia="ru-RU"/>
        </w:rPr>
        <w:t>ICE</w:t>
      </w:r>
      <w:r w:rsidRPr="007D1D82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Pr="007D1D82">
        <w:rPr>
          <w:rFonts w:eastAsia="Futuris-Bold" w:cstheme="minorHAnsi"/>
          <w:b/>
          <w:sz w:val="20"/>
          <w:szCs w:val="20"/>
          <w:lang w:val="en-US" w:eastAsia="ru-RU"/>
        </w:rPr>
        <w:t>Clear</w:t>
      </w:r>
      <w:r w:rsidRPr="007D1D82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Pr="007D1D82">
        <w:rPr>
          <w:rFonts w:eastAsia="Futuris-Bold" w:cstheme="minorHAnsi"/>
          <w:b/>
          <w:sz w:val="20"/>
          <w:szCs w:val="20"/>
          <w:lang w:val="en-US" w:eastAsia="ru-RU"/>
        </w:rPr>
        <w:t>Europe</w:t>
      </w:r>
      <w:r w:rsidR="002C185A" w:rsidRPr="007D1D82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="002C185A" w:rsidRPr="007D1D82">
        <w:rPr>
          <w:rFonts w:eastAsia="Futuris-Bold" w:cstheme="minorHAnsi"/>
          <w:b/>
          <w:sz w:val="20"/>
          <w:szCs w:val="20"/>
          <w:lang w:val="en-US" w:eastAsia="ru-RU"/>
        </w:rPr>
        <w:t>Ltd</w:t>
      </w:r>
      <w:r w:rsidR="002C185A" w:rsidRPr="007D1D82">
        <w:rPr>
          <w:rFonts w:eastAsia="Futuris-Bold" w:cstheme="minorHAnsi"/>
          <w:b/>
          <w:sz w:val="20"/>
          <w:szCs w:val="20"/>
          <w:lang w:eastAsia="ru-RU"/>
        </w:rPr>
        <w:t>.</w:t>
      </w:r>
      <w:r w:rsidRPr="007D1D82">
        <w:rPr>
          <w:rFonts w:eastAsia="Futuris-Bold" w:cstheme="minorHAnsi"/>
          <w:sz w:val="20"/>
          <w:szCs w:val="20"/>
          <w:lang w:eastAsia="ru-RU"/>
        </w:rPr>
        <w:t>, що входить до складу холдингу ІСЕ.</w:t>
      </w:r>
      <w:r w:rsidR="00277250" w:rsidRPr="007D1D82">
        <w:rPr>
          <w:rFonts w:eastAsia="Futuris-Bold" w:cstheme="minorHAnsi"/>
          <w:sz w:val="20"/>
          <w:szCs w:val="20"/>
          <w:lang w:eastAsia="ru-RU"/>
        </w:rPr>
        <w:t xml:space="preserve"> Слід зазначити, що а</w:t>
      </w:r>
      <w:r w:rsidR="00277250" w:rsidRPr="007D1D82">
        <w:rPr>
          <w:rFonts w:cstheme="minorHAnsi"/>
          <w:sz w:val="20"/>
          <w:szCs w:val="20"/>
        </w:rPr>
        <w:t>наліз структури власності ICE демонструє, що більше 90% власників, – це інституційні власники.</w:t>
      </w:r>
    </w:p>
    <w:p w:rsidR="002609D3" w:rsidRPr="007D1D82" w:rsidRDefault="002609D3" w:rsidP="002609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Futuris-Bold" w:cstheme="minorHAnsi"/>
          <w:sz w:val="20"/>
          <w:szCs w:val="20"/>
          <w:lang w:eastAsia="ru-RU"/>
        </w:rPr>
      </w:pPr>
    </w:p>
    <w:p w:rsidR="00EC57BF" w:rsidRPr="0083661E" w:rsidRDefault="002609D3" w:rsidP="00A9127A">
      <w:pPr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  <w:r w:rsidRPr="007D1D82">
        <w:rPr>
          <w:rFonts w:eastAsia="Futuris-Bold" w:cstheme="minorHAnsi"/>
          <w:b/>
          <w:sz w:val="20"/>
          <w:szCs w:val="20"/>
          <w:lang w:val="en-US" w:eastAsia="ru-RU"/>
        </w:rPr>
        <w:t>LME</w:t>
      </w:r>
      <w:r w:rsidRPr="007D1D82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="00D76A47" w:rsidRPr="0062708A">
        <w:rPr>
          <w:rFonts w:eastAsia="Futuris-Bold" w:cstheme="minorHAnsi"/>
          <w:sz w:val="20"/>
          <w:szCs w:val="20"/>
          <w:lang w:eastAsia="ru-RU"/>
        </w:rPr>
        <w:t>(</w:t>
      </w:r>
      <w:r w:rsidR="00D76A47" w:rsidRPr="0062708A">
        <w:rPr>
          <w:rFonts w:eastAsia="Futuris-Bold" w:cstheme="minorHAnsi"/>
          <w:sz w:val="20"/>
          <w:szCs w:val="20"/>
          <w:lang w:val="en-US" w:eastAsia="ru-RU"/>
        </w:rPr>
        <w:t>London</w:t>
      </w:r>
      <w:r w:rsidR="00D76A47" w:rsidRPr="0062708A">
        <w:rPr>
          <w:rFonts w:eastAsia="Futuris-Bold" w:cstheme="minorHAnsi"/>
          <w:sz w:val="20"/>
          <w:szCs w:val="20"/>
          <w:lang w:eastAsia="ru-RU"/>
        </w:rPr>
        <w:t xml:space="preserve"> </w:t>
      </w:r>
      <w:r w:rsidR="00D76A47" w:rsidRPr="0062708A">
        <w:rPr>
          <w:rFonts w:eastAsia="Futuris-Bold" w:cstheme="minorHAnsi"/>
          <w:sz w:val="20"/>
          <w:szCs w:val="20"/>
          <w:lang w:val="en-US" w:eastAsia="ru-RU"/>
        </w:rPr>
        <w:t>Metal</w:t>
      </w:r>
      <w:r w:rsidR="00D76A47" w:rsidRPr="0062708A">
        <w:rPr>
          <w:rFonts w:eastAsia="Futuris-Bold" w:cstheme="minorHAnsi"/>
          <w:sz w:val="20"/>
          <w:szCs w:val="20"/>
          <w:lang w:eastAsia="ru-RU"/>
        </w:rPr>
        <w:t xml:space="preserve"> </w:t>
      </w:r>
      <w:r w:rsidR="00D76A47" w:rsidRPr="0062708A">
        <w:rPr>
          <w:rFonts w:eastAsia="Futuris-Bold" w:cstheme="minorHAnsi"/>
          <w:sz w:val="20"/>
          <w:szCs w:val="20"/>
          <w:lang w:val="en-US" w:eastAsia="ru-RU"/>
        </w:rPr>
        <w:t>Exchange</w:t>
      </w:r>
      <w:r w:rsidR="00D76A47" w:rsidRPr="0062708A">
        <w:rPr>
          <w:rFonts w:eastAsia="Futuris-Bold" w:cstheme="minorHAnsi"/>
          <w:sz w:val="20"/>
          <w:szCs w:val="20"/>
          <w:lang w:eastAsia="ru-RU"/>
        </w:rPr>
        <w:t>)</w:t>
      </w:r>
      <w:r w:rsidR="00D76A47" w:rsidRPr="007D1D82">
        <w:rPr>
          <w:rFonts w:eastAsia="Futuris-Bold" w:cstheme="minorHAnsi"/>
          <w:sz w:val="20"/>
          <w:szCs w:val="20"/>
          <w:lang w:eastAsia="ru-RU"/>
        </w:rPr>
        <w:t xml:space="preserve"> 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також слідом за ІСЕ </w:t>
      </w:r>
      <w:r w:rsidR="00073C02" w:rsidRPr="007D1D82">
        <w:rPr>
          <w:rFonts w:eastAsia="Futuris-Bold" w:cstheme="minorHAnsi"/>
          <w:sz w:val="20"/>
          <w:szCs w:val="20"/>
          <w:lang w:eastAsia="ru-RU"/>
        </w:rPr>
        <w:t>доклала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 зусилля на </w:t>
      </w:r>
      <w:r w:rsidRPr="0083661E">
        <w:rPr>
          <w:rFonts w:eastAsia="Futuris-Bold" w:cstheme="minorHAnsi"/>
          <w:sz w:val="20"/>
          <w:szCs w:val="20"/>
          <w:lang w:eastAsia="ru-RU"/>
        </w:rPr>
        <w:t xml:space="preserve">побудову власної клірингової організації </w:t>
      </w:r>
      <w:r w:rsidRPr="0083661E">
        <w:rPr>
          <w:rFonts w:eastAsia="Futuris-Bold" w:cstheme="minorHAnsi"/>
          <w:b/>
          <w:sz w:val="20"/>
          <w:szCs w:val="20"/>
          <w:lang w:val="en-US" w:eastAsia="ru-RU"/>
        </w:rPr>
        <w:t>LME</w:t>
      </w:r>
      <w:r w:rsidRPr="0083661E">
        <w:rPr>
          <w:rFonts w:eastAsia="Futuris-Bold" w:cstheme="minorHAnsi"/>
          <w:b/>
          <w:sz w:val="20"/>
          <w:szCs w:val="20"/>
          <w:lang w:eastAsia="ru-RU"/>
        </w:rPr>
        <w:t xml:space="preserve"> Clear </w:t>
      </w:r>
      <w:r w:rsidR="00073C02" w:rsidRPr="0083661E">
        <w:rPr>
          <w:rFonts w:eastAsia="Futuris-Bold" w:cstheme="minorHAnsi"/>
          <w:b/>
          <w:sz w:val="20"/>
          <w:szCs w:val="20"/>
          <w:lang w:val="en-US" w:eastAsia="ru-RU"/>
        </w:rPr>
        <w:t>Ltd</w:t>
      </w:r>
      <w:r w:rsidR="00073C02" w:rsidRPr="0083661E">
        <w:rPr>
          <w:rFonts w:eastAsia="Futuris-Bold" w:cstheme="minorHAnsi"/>
          <w:b/>
          <w:sz w:val="20"/>
          <w:szCs w:val="20"/>
          <w:lang w:eastAsia="ru-RU"/>
        </w:rPr>
        <w:t>.</w:t>
      </w:r>
      <w:r w:rsidR="00073C02" w:rsidRPr="0083661E">
        <w:rPr>
          <w:rFonts w:eastAsia="Futuris-Bold" w:cstheme="minorHAnsi"/>
          <w:sz w:val="20"/>
          <w:szCs w:val="20"/>
          <w:lang w:eastAsia="ru-RU"/>
        </w:rPr>
        <w:t xml:space="preserve"> </w:t>
      </w:r>
      <w:r w:rsidRPr="0083661E">
        <w:rPr>
          <w:rFonts w:eastAsia="Futuris-Bold" w:cstheme="minorHAnsi"/>
          <w:sz w:val="20"/>
          <w:szCs w:val="20"/>
          <w:lang w:eastAsia="ru-RU"/>
        </w:rPr>
        <w:t>з метою отримання доходів від клірингової діяльності та набуття більшого контролю над новими продуктами</w:t>
      </w:r>
      <w:r w:rsidR="0083661E" w:rsidRPr="0083661E">
        <w:rPr>
          <w:rFonts w:eastAsia="Futuris-Bold" w:cstheme="minorHAnsi"/>
          <w:sz w:val="20"/>
          <w:szCs w:val="20"/>
          <w:lang w:eastAsia="ru-RU"/>
        </w:rPr>
        <w:t xml:space="preserve"> і, перш за все, в частині побудови </w:t>
      </w:r>
      <w:r w:rsidR="0083661E" w:rsidRPr="0083661E">
        <w:rPr>
          <w:rFonts w:eastAsia="Times New Roman" w:cstheme="minorHAnsi"/>
          <w:sz w:val="20"/>
          <w:szCs w:val="20"/>
          <w:lang w:eastAsia="uk-UA"/>
        </w:rPr>
        <w:t>ефективної системи управляння ризиками</w:t>
      </w:r>
      <w:r w:rsidRPr="0083661E">
        <w:rPr>
          <w:rFonts w:eastAsia="Futuris-Bold" w:cstheme="minorHAnsi"/>
          <w:sz w:val="20"/>
          <w:szCs w:val="20"/>
          <w:lang w:eastAsia="ru-RU"/>
        </w:rPr>
        <w:t>.</w:t>
      </w:r>
    </w:p>
    <w:p w:rsidR="002609D3" w:rsidRPr="007D1D82" w:rsidRDefault="002609D3" w:rsidP="00A9127A">
      <w:pPr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</w:p>
    <w:p w:rsidR="00B51840" w:rsidRPr="007D1D82" w:rsidRDefault="00A9127A" w:rsidP="00A9127A">
      <w:pPr>
        <w:jc w:val="both"/>
        <w:rPr>
          <w:rFonts w:cstheme="minorHAnsi"/>
          <w:sz w:val="20"/>
          <w:szCs w:val="20"/>
        </w:rPr>
      </w:pPr>
      <w:r w:rsidRPr="007D1D82">
        <w:rPr>
          <w:rFonts w:cstheme="minorHAnsi"/>
          <w:b/>
          <w:sz w:val="20"/>
          <w:szCs w:val="20"/>
          <w:lang w:val="en-US"/>
        </w:rPr>
        <w:t>EEX</w:t>
      </w:r>
      <w:r w:rsidRPr="007D1D82">
        <w:rPr>
          <w:rFonts w:cstheme="minorHAnsi"/>
          <w:b/>
          <w:sz w:val="20"/>
          <w:szCs w:val="20"/>
        </w:rPr>
        <w:t xml:space="preserve"> </w:t>
      </w:r>
      <w:r w:rsidRPr="007D1D82">
        <w:rPr>
          <w:rFonts w:cstheme="minorHAnsi"/>
          <w:b/>
          <w:sz w:val="20"/>
          <w:szCs w:val="20"/>
          <w:lang w:val="en-US"/>
        </w:rPr>
        <w:t>AG</w:t>
      </w:r>
      <w:r w:rsidRPr="007D1D82">
        <w:rPr>
          <w:rFonts w:cstheme="minorHAnsi"/>
          <w:sz w:val="20"/>
          <w:szCs w:val="20"/>
        </w:rPr>
        <w:t xml:space="preserve"> (</w:t>
      </w:r>
      <w:r w:rsidR="00B23706" w:rsidRPr="007D1D82">
        <w:rPr>
          <w:rFonts w:cstheme="minorHAnsi"/>
          <w:sz w:val="20"/>
          <w:szCs w:val="20"/>
        </w:rPr>
        <w:t>European Energy Exchange AG</w:t>
      </w:r>
      <w:r w:rsidRPr="007D1D82">
        <w:rPr>
          <w:rFonts w:cstheme="minorHAnsi"/>
          <w:sz w:val="20"/>
          <w:szCs w:val="20"/>
        </w:rPr>
        <w:t>)</w:t>
      </w:r>
      <w:r w:rsidR="00B23706" w:rsidRPr="007D1D82">
        <w:rPr>
          <w:rFonts w:cstheme="minorHAnsi"/>
          <w:sz w:val="20"/>
          <w:szCs w:val="20"/>
        </w:rPr>
        <w:t xml:space="preserve"> володіє 98,5% клірингової організації </w:t>
      </w:r>
      <w:r w:rsidRPr="007D1D82">
        <w:rPr>
          <w:rFonts w:cstheme="minorHAnsi"/>
          <w:sz w:val="20"/>
          <w:szCs w:val="20"/>
          <w:lang w:val="en-US"/>
        </w:rPr>
        <w:t>ECC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Fonts w:cstheme="minorHAnsi"/>
          <w:sz w:val="20"/>
          <w:szCs w:val="20"/>
          <w:lang w:val="en-US"/>
        </w:rPr>
        <w:t>AG</w:t>
      </w:r>
      <w:r w:rsidRPr="007D1D82">
        <w:rPr>
          <w:rFonts w:cstheme="minorHAnsi"/>
          <w:sz w:val="20"/>
          <w:szCs w:val="20"/>
        </w:rPr>
        <w:t xml:space="preserve"> (</w:t>
      </w:r>
      <w:r w:rsidR="00B23706" w:rsidRPr="007D1D82">
        <w:rPr>
          <w:rFonts w:cstheme="minorHAnsi"/>
          <w:sz w:val="20"/>
          <w:szCs w:val="20"/>
        </w:rPr>
        <w:t xml:space="preserve">European </w:t>
      </w:r>
      <w:r w:rsidR="00B23706" w:rsidRPr="007D1D82">
        <w:rPr>
          <w:rFonts w:cstheme="minorHAnsi"/>
          <w:sz w:val="20"/>
          <w:szCs w:val="20"/>
          <w:lang w:val="en-US"/>
        </w:rPr>
        <w:t>Commodity</w:t>
      </w:r>
      <w:r w:rsidR="00B23706" w:rsidRPr="007D1D82">
        <w:rPr>
          <w:rFonts w:cstheme="minorHAnsi"/>
          <w:sz w:val="20"/>
          <w:szCs w:val="20"/>
        </w:rPr>
        <w:t xml:space="preserve"> </w:t>
      </w:r>
      <w:r w:rsidR="00B23706" w:rsidRPr="007D1D82">
        <w:rPr>
          <w:rFonts w:cstheme="minorHAnsi"/>
          <w:sz w:val="20"/>
          <w:szCs w:val="20"/>
          <w:lang w:val="en"/>
        </w:rPr>
        <w:t>Clearing</w:t>
      </w:r>
      <w:r w:rsidR="00B23706" w:rsidRPr="007D1D82">
        <w:rPr>
          <w:rFonts w:cstheme="minorHAnsi"/>
          <w:sz w:val="20"/>
          <w:szCs w:val="20"/>
        </w:rPr>
        <w:t xml:space="preserve"> </w:t>
      </w:r>
      <w:r w:rsidRPr="007D1D82">
        <w:rPr>
          <w:rFonts w:cstheme="minorHAnsi"/>
          <w:sz w:val="20"/>
          <w:szCs w:val="20"/>
          <w:lang w:val="en"/>
        </w:rPr>
        <w:t>AG</w:t>
      </w:r>
      <w:r w:rsidR="00D67AEF" w:rsidRPr="007D1D82">
        <w:rPr>
          <w:rFonts w:cstheme="minorHAnsi"/>
          <w:sz w:val="20"/>
          <w:szCs w:val="20"/>
        </w:rPr>
        <w:t>)</w:t>
      </w:r>
      <w:r w:rsidR="00D950B0" w:rsidRPr="007D1D82">
        <w:rPr>
          <w:rFonts w:cstheme="minorHAnsi"/>
          <w:sz w:val="20"/>
          <w:szCs w:val="20"/>
        </w:rPr>
        <w:t xml:space="preserve"> </w:t>
      </w:r>
      <w:r w:rsidR="00D67AEF" w:rsidRPr="007D1D82">
        <w:rPr>
          <w:rFonts w:cstheme="minorHAnsi"/>
          <w:sz w:val="20"/>
          <w:szCs w:val="20"/>
        </w:rPr>
        <w:t>до складу якої входять</w:t>
      </w:r>
      <w:r w:rsidRPr="007D1D82">
        <w:rPr>
          <w:rFonts w:cstheme="minorHAnsi"/>
          <w:sz w:val="20"/>
          <w:szCs w:val="20"/>
        </w:rPr>
        <w:t xml:space="preserve"> </w:t>
      </w:r>
      <w:r w:rsidR="0062708A">
        <w:rPr>
          <w:rFonts w:cstheme="minorHAnsi"/>
          <w:b/>
          <w:noProof/>
          <w:sz w:val="20"/>
          <w:szCs w:val="20"/>
          <w:lang w:val="en-US" w:eastAsia="ru-RU"/>
        </w:rPr>
        <w:t>E</w:t>
      </w:r>
      <w:r w:rsidR="0062708A">
        <w:rPr>
          <w:rFonts w:cstheme="minorHAnsi"/>
          <w:b/>
          <w:noProof/>
          <w:sz w:val="20"/>
          <w:szCs w:val="20"/>
          <w:lang w:eastAsia="ru-RU"/>
        </w:rPr>
        <w:t>СС</w:t>
      </w:r>
      <w:r w:rsidR="00D67AEF" w:rsidRPr="007D1D82">
        <w:rPr>
          <w:rFonts w:cstheme="minorHAnsi"/>
          <w:noProof/>
          <w:sz w:val="20"/>
          <w:szCs w:val="20"/>
          <w:lang w:eastAsia="ru-RU"/>
        </w:rPr>
        <w:t xml:space="preserve"> та </w:t>
      </w:r>
      <w:r w:rsidR="00D67AEF" w:rsidRPr="007D1D82">
        <w:rPr>
          <w:rFonts w:cstheme="minorHAnsi"/>
          <w:b/>
          <w:noProof/>
          <w:sz w:val="20"/>
          <w:szCs w:val="20"/>
          <w:lang w:eastAsia="ru-RU"/>
        </w:rPr>
        <w:t xml:space="preserve">Nodal Clear </w:t>
      </w:r>
      <w:r w:rsidR="00D67AEF" w:rsidRPr="007D1D82">
        <w:rPr>
          <w:rFonts w:cstheme="minorHAnsi"/>
          <w:b/>
          <w:noProof/>
          <w:sz w:val="20"/>
          <w:szCs w:val="20"/>
          <w:lang w:val="en-US" w:eastAsia="ru-RU"/>
        </w:rPr>
        <w:t>LLC</w:t>
      </w:r>
      <w:r w:rsidR="00B51840" w:rsidRPr="007D1D82">
        <w:rPr>
          <w:rFonts w:cstheme="minorHAnsi"/>
          <w:sz w:val="20"/>
          <w:szCs w:val="20"/>
        </w:rPr>
        <w:t xml:space="preserve">; </w:t>
      </w:r>
      <w:r w:rsidR="00A038B3" w:rsidRPr="007D1D82">
        <w:rPr>
          <w:rFonts w:cstheme="minorHAnsi"/>
          <w:b/>
          <w:sz w:val="20"/>
          <w:szCs w:val="20"/>
        </w:rPr>
        <w:t>CME Group</w:t>
      </w:r>
      <w:r w:rsidR="00A038B3" w:rsidRPr="007D1D82">
        <w:rPr>
          <w:rFonts w:cstheme="minorHAnsi"/>
          <w:sz w:val="20"/>
          <w:szCs w:val="20"/>
        </w:rPr>
        <w:t xml:space="preserve"> (біржі - CME, </w:t>
      </w:r>
      <w:r w:rsidR="00A038B3" w:rsidRPr="007D1D82">
        <w:rPr>
          <w:rFonts w:eastAsia="Times New Roman" w:cstheme="minorHAnsi"/>
          <w:sz w:val="20"/>
          <w:szCs w:val="20"/>
          <w:lang w:eastAsia="en-GB"/>
        </w:rPr>
        <w:t>CBOT</w:t>
      </w:r>
      <w:r w:rsidR="00A038B3" w:rsidRPr="007D1D82">
        <w:rPr>
          <w:rFonts w:cstheme="minorHAnsi"/>
          <w:sz w:val="20"/>
          <w:szCs w:val="20"/>
        </w:rPr>
        <w:t>, NYMEX, COMEX) керує CME Clearing</w:t>
      </w:r>
      <w:r w:rsidR="00B51840" w:rsidRPr="007D1D82">
        <w:rPr>
          <w:rFonts w:cstheme="minorHAnsi"/>
          <w:sz w:val="20"/>
          <w:szCs w:val="20"/>
        </w:rPr>
        <w:t xml:space="preserve">; </w:t>
      </w:r>
      <w:r w:rsidR="00D950B0" w:rsidRPr="007D1D82">
        <w:rPr>
          <w:rFonts w:cstheme="minorHAnsi"/>
          <w:sz w:val="20"/>
          <w:szCs w:val="20"/>
        </w:rPr>
        <w:t xml:space="preserve">польська </w:t>
      </w:r>
      <w:r w:rsidR="00B51840" w:rsidRPr="007D1D82">
        <w:rPr>
          <w:rFonts w:cstheme="minorHAnsi"/>
          <w:b/>
          <w:sz w:val="20"/>
          <w:szCs w:val="20"/>
          <w:lang w:val="en-US"/>
        </w:rPr>
        <w:t>TGE</w:t>
      </w:r>
      <w:r w:rsidR="00B51840" w:rsidRPr="007D1D82">
        <w:rPr>
          <w:rFonts w:cstheme="minorHAnsi"/>
          <w:sz w:val="20"/>
          <w:szCs w:val="20"/>
        </w:rPr>
        <w:t xml:space="preserve"> створила власну клірингову палату - Izba Rozliczeniowa Giełd Towarowych S.A. (IRGiT),</w:t>
      </w:r>
      <w:r w:rsidR="00D950B0" w:rsidRPr="007D1D82">
        <w:rPr>
          <w:rFonts w:cstheme="minorHAnsi"/>
          <w:sz w:val="20"/>
          <w:szCs w:val="20"/>
        </w:rPr>
        <w:t xml:space="preserve"> яка </w:t>
      </w:r>
      <w:r w:rsidR="00B51840" w:rsidRPr="007D1D82">
        <w:rPr>
          <w:rFonts w:cstheme="minorHAnsi"/>
          <w:sz w:val="20"/>
          <w:szCs w:val="20"/>
        </w:rPr>
        <w:t>пропонує клірингові (у тому числі, як центрального контрагента)  та розрахункові послуги</w:t>
      </w:r>
      <w:r w:rsidRPr="007D1D82">
        <w:rPr>
          <w:rFonts w:cstheme="minorHAnsi"/>
          <w:sz w:val="20"/>
          <w:szCs w:val="20"/>
        </w:rPr>
        <w:t xml:space="preserve">; </w:t>
      </w:r>
      <w:r w:rsidRPr="007D1D82">
        <w:rPr>
          <w:rFonts w:cstheme="minorHAnsi"/>
          <w:b/>
          <w:sz w:val="20"/>
          <w:szCs w:val="20"/>
        </w:rPr>
        <w:t xml:space="preserve">ТОСОМ  </w:t>
      </w:r>
      <w:r w:rsidRPr="001B1381">
        <w:rPr>
          <w:rFonts w:cstheme="minorHAnsi"/>
          <w:sz w:val="20"/>
          <w:szCs w:val="20"/>
        </w:rPr>
        <w:t xml:space="preserve">(Tokyo Commodity Exchange, </w:t>
      </w:r>
      <w:r w:rsidRPr="001B1381">
        <w:rPr>
          <w:rFonts w:cstheme="minorHAnsi"/>
          <w:sz w:val="20"/>
          <w:szCs w:val="20"/>
          <w:lang w:val="en-US"/>
        </w:rPr>
        <w:t>TOCOM</w:t>
      </w:r>
      <w:r w:rsidRPr="001B1381">
        <w:rPr>
          <w:rFonts w:cstheme="minorHAnsi"/>
          <w:sz w:val="20"/>
          <w:szCs w:val="20"/>
        </w:rPr>
        <w:t xml:space="preserve"> </w:t>
      </w:r>
      <w:r w:rsidRPr="001B1381">
        <w:rPr>
          <w:rFonts w:cstheme="minorHAnsi"/>
          <w:sz w:val="20"/>
          <w:szCs w:val="20"/>
          <w:lang w:val="en-US"/>
        </w:rPr>
        <w:t>Group</w:t>
      </w:r>
      <w:r w:rsidRPr="001B1381">
        <w:rPr>
          <w:rFonts w:cstheme="minorHAnsi"/>
          <w:sz w:val="20"/>
          <w:szCs w:val="20"/>
        </w:rPr>
        <w:t xml:space="preserve">) - </w:t>
      </w:r>
      <w:r w:rsidRPr="001B1381">
        <w:rPr>
          <w:rFonts w:cstheme="minorHAnsi"/>
          <w:b/>
          <w:sz w:val="20"/>
          <w:szCs w:val="20"/>
        </w:rPr>
        <w:t>Japan Commodity Clearing House Co., Ltd.</w:t>
      </w:r>
      <w:r w:rsidRPr="007D1D82">
        <w:rPr>
          <w:rFonts w:cstheme="minorHAnsi"/>
          <w:sz w:val="20"/>
          <w:szCs w:val="20"/>
        </w:rPr>
        <w:t xml:space="preserve"> з грудня 2012р. є 100% дочірньою компанією ТОСОМ</w:t>
      </w:r>
      <w:r w:rsidR="00D950B0" w:rsidRPr="007D1D82">
        <w:rPr>
          <w:rFonts w:cstheme="minorHAnsi"/>
          <w:sz w:val="20"/>
          <w:szCs w:val="20"/>
        </w:rPr>
        <w:t>), - перелік можна подовжити й іншими неспростовними прикладами.</w:t>
      </w:r>
    </w:p>
    <w:p w:rsidR="00EC57BF" w:rsidRDefault="00EC57BF" w:rsidP="00EC57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  <w:r w:rsidRPr="007D1D82">
        <w:rPr>
          <w:rFonts w:cstheme="minorHAnsi"/>
          <w:sz w:val="20"/>
          <w:szCs w:val="20"/>
        </w:rPr>
        <w:t xml:space="preserve">Також слід, зауважити що </w:t>
      </w:r>
      <w:r w:rsidRPr="007D1D82">
        <w:rPr>
          <w:rFonts w:cstheme="minorHAnsi"/>
          <w:b/>
          <w:sz w:val="20"/>
          <w:szCs w:val="20"/>
        </w:rPr>
        <w:t>у світовій практиці не існує заборони щодо здійснення біржами діяльності центрального контрагента</w:t>
      </w:r>
      <w:r w:rsidRPr="007D1D82">
        <w:rPr>
          <w:rFonts w:cstheme="minorHAnsi"/>
          <w:sz w:val="20"/>
          <w:szCs w:val="20"/>
        </w:rPr>
        <w:t xml:space="preserve">. </w:t>
      </w:r>
      <w:r w:rsidRPr="007D1D82">
        <w:rPr>
          <w:rFonts w:cstheme="minorHAnsi"/>
          <w:b/>
          <w:sz w:val="20"/>
          <w:szCs w:val="20"/>
        </w:rPr>
        <w:t>Все залежить від  ступеню розвитку ринків</w:t>
      </w:r>
      <w:r w:rsidRPr="007D1D82">
        <w:rPr>
          <w:rFonts w:cstheme="minorHAnsi"/>
          <w:sz w:val="20"/>
          <w:szCs w:val="20"/>
        </w:rPr>
        <w:t xml:space="preserve">. Наприклад, 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на іспанському біржовому ринку деривативів біржа </w:t>
      </w:r>
      <w:r w:rsidRPr="007D1D82">
        <w:rPr>
          <w:rFonts w:eastAsia="Futuris-Bold" w:cstheme="minorHAnsi"/>
          <w:b/>
          <w:sz w:val="20"/>
          <w:szCs w:val="20"/>
          <w:lang w:val="en-US" w:eastAsia="ru-RU"/>
        </w:rPr>
        <w:t>MEFF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 з 1992 року надавала послуги центрального контрагента, маючи відповідний підрозділ (</w:t>
      </w:r>
      <w:r w:rsidRPr="007D1D82">
        <w:rPr>
          <w:rFonts w:eastAsia="Futuris-Bold" w:cstheme="minorHAnsi"/>
          <w:sz w:val="20"/>
          <w:szCs w:val="20"/>
          <w:lang w:val="en-US" w:eastAsia="ru-RU"/>
        </w:rPr>
        <w:t>MEFF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 </w:t>
      </w:r>
      <w:r w:rsidRPr="007D1D82">
        <w:rPr>
          <w:rFonts w:eastAsia="Futuris-Bold" w:cstheme="minorHAnsi"/>
          <w:sz w:val="20"/>
          <w:szCs w:val="20"/>
          <w:lang w:val="en-US" w:eastAsia="ru-RU"/>
        </w:rPr>
        <w:t>Clear</w:t>
      </w:r>
      <w:r w:rsidRPr="007D1D82">
        <w:rPr>
          <w:rFonts w:eastAsia="Futuris-Bold" w:cstheme="minorHAnsi"/>
          <w:sz w:val="20"/>
          <w:szCs w:val="20"/>
          <w:lang w:eastAsia="ru-RU"/>
        </w:rPr>
        <w:t xml:space="preserve">). З 09 вересня 2013 року клірингова діяльність (центрального контрагента) була відокремлена в нову компанію  </w:t>
      </w:r>
      <w:r w:rsidRPr="007D1D82">
        <w:rPr>
          <w:rFonts w:eastAsia="Futuris-Bold" w:cstheme="minorHAnsi"/>
          <w:b/>
          <w:sz w:val="20"/>
          <w:szCs w:val="20"/>
          <w:lang w:eastAsia="ru-RU"/>
        </w:rPr>
        <w:t>BME Clearing</w:t>
      </w:r>
      <w:r w:rsidRPr="007D1D82">
        <w:rPr>
          <w:rFonts w:eastAsia="Futuris-Bold" w:cstheme="minorHAnsi"/>
          <w:sz w:val="20"/>
          <w:szCs w:val="20"/>
          <w:lang w:eastAsia="ru-RU"/>
        </w:rPr>
        <w:t>, яка з 15 вересня почала надавати  послуги за угодами з державними облігаціями і з 18 вересня  – на ринку репо-угод.</w:t>
      </w:r>
    </w:p>
    <w:p w:rsidR="007D1D82" w:rsidRDefault="007D1D82" w:rsidP="00EC57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</w:p>
    <w:p w:rsidR="007D1D82" w:rsidRPr="007D1D82" w:rsidRDefault="007D1D82" w:rsidP="00EC57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Futuris-Bold" w:cstheme="minorHAnsi"/>
          <w:b/>
          <w:sz w:val="20"/>
          <w:szCs w:val="20"/>
          <w:lang w:eastAsia="ru-RU"/>
        </w:rPr>
      </w:pPr>
      <w:r w:rsidRPr="007D1D82">
        <w:rPr>
          <w:rFonts w:eastAsia="Futuris-Bold" w:cstheme="minorHAnsi"/>
          <w:b/>
          <w:sz w:val="20"/>
          <w:szCs w:val="20"/>
          <w:lang w:eastAsia="ru-RU"/>
        </w:rPr>
        <w:t xml:space="preserve">При цьому біржі та їх центральні контрагенти надають послуги з організації торгів та клірингові, відповідно, як на біржовому, так на позабіржовому ринку, а також виконують функції торгових </w:t>
      </w:r>
      <w:r w:rsidR="0057625F">
        <w:rPr>
          <w:rFonts w:eastAsia="Futuris-Bold" w:cstheme="minorHAnsi"/>
          <w:b/>
          <w:sz w:val="20"/>
          <w:szCs w:val="20"/>
          <w:lang w:eastAsia="ru-RU"/>
        </w:rPr>
        <w:t>р</w:t>
      </w:r>
      <w:r w:rsidRPr="005B495C">
        <w:rPr>
          <w:rFonts w:eastAsia="Futuris-Bold" w:cstheme="minorHAnsi"/>
          <w:b/>
          <w:sz w:val="20"/>
          <w:szCs w:val="20"/>
          <w:lang w:eastAsia="ru-RU"/>
        </w:rPr>
        <w:t>епозитаріїв</w:t>
      </w:r>
      <w:r w:rsidR="005B495C" w:rsidRPr="005B495C">
        <w:rPr>
          <w:rFonts w:eastAsia="Futuris-Bold" w:cstheme="minorHAnsi"/>
          <w:b/>
          <w:sz w:val="20"/>
          <w:szCs w:val="20"/>
          <w:lang w:eastAsia="ru-RU"/>
        </w:rPr>
        <w:t xml:space="preserve"> </w:t>
      </w:r>
      <w:r w:rsidR="005B495C" w:rsidRPr="005B495C">
        <w:rPr>
          <w:rFonts w:eastAsia="Futuris-Bold" w:cstheme="minorHAnsi"/>
          <w:sz w:val="20"/>
          <w:szCs w:val="20"/>
          <w:lang w:eastAsia="ru-RU"/>
        </w:rPr>
        <w:t>(</w:t>
      </w:r>
      <w:r w:rsidR="005B495C" w:rsidRPr="005B495C">
        <w:rPr>
          <w:rFonts w:cstheme="minorHAnsi"/>
          <w:sz w:val="20"/>
          <w:szCs w:val="20"/>
        </w:rPr>
        <w:t>наприкл</w:t>
      </w:r>
      <w:r w:rsidR="005B495C">
        <w:rPr>
          <w:rFonts w:cstheme="minorHAnsi"/>
          <w:sz w:val="20"/>
          <w:szCs w:val="20"/>
        </w:rPr>
        <w:t>ад, як це відбувається на п</w:t>
      </w:r>
      <w:r w:rsidR="005B495C" w:rsidRPr="005B495C">
        <w:rPr>
          <w:rFonts w:cstheme="minorHAnsi"/>
          <w:sz w:val="20"/>
          <w:szCs w:val="20"/>
        </w:rPr>
        <w:t>ольській енергетичній біржі -  Towarowa Giełda Energii S.A. (TGE), Лондонській фондовій біржі (</w:t>
      </w:r>
      <w:r w:rsidR="005B495C" w:rsidRPr="005B495C">
        <w:rPr>
          <w:rFonts w:cstheme="minorHAnsi"/>
          <w:sz w:val="20"/>
          <w:szCs w:val="20"/>
          <w:lang w:val="en-US"/>
        </w:rPr>
        <w:t>LSE</w:t>
      </w:r>
      <w:r w:rsidR="005B495C" w:rsidRPr="005B495C">
        <w:rPr>
          <w:rFonts w:cstheme="minorHAnsi"/>
          <w:sz w:val="20"/>
          <w:szCs w:val="20"/>
        </w:rPr>
        <w:t xml:space="preserve">), на біржах, що входять до складу Групи «Європейська енергетична біржа» (ЕЕХ), на СМЕ </w:t>
      </w:r>
      <w:r w:rsidR="005B495C" w:rsidRPr="005B495C">
        <w:rPr>
          <w:rFonts w:cstheme="minorHAnsi"/>
          <w:sz w:val="20"/>
          <w:szCs w:val="20"/>
          <w:lang w:val="en-US"/>
        </w:rPr>
        <w:t>Group</w:t>
      </w:r>
      <w:r w:rsidR="005B495C" w:rsidRPr="005B495C">
        <w:rPr>
          <w:rFonts w:cstheme="minorHAnsi"/>
          <w:sz w:val="20"/>
          <w:szCs w:val="20"/>
        </w:rPr>
        <w:t xml:space="preserve"> (</w:t>
      </w:r>
      <w:r w:rsidR="005B495C" w:rsidRPr="005B495C">
        <w:rPr>
          <w:rFonts w:cstheme="minorHAnsi"/>
          <w:color w:val="000000"/>
          <w:sz w:val="20"/>
          <w:szCs w:val="20"/>
        </w:rPr>
        <w:t>CME European Trade Repository</w:t>
      </w:r>
      <w:r w:rsidR="005B495C" w:rsidRPr="005B495C">
        <w:rPr>
          <w:rFonts w:cstheme="minorHAnsi"/>
          <w:sz w:val="20"/>
          <w:szCs w:val="20"/>
        </w:rPr>
        <w:t>)</w:t>
      </w:r>
      <w:r w:rsidR="005B495C" w:rsidRPr="005B495C">
        <w:rPr>
          <w:rFonts w:eastAsia="Futuris-Bold" w:cstheme="minorHAnsi"/>
          <w:sz w:val="20"/>
          <w:szCs w:val="20"/>
          <w:lang w:eastAsia="ru-RU"/>
        </w:rPr>
        <w:t>)</w:t>
      </w:r>
      <w:r w:rsidRPr="005B495C">
        <w:rPr>
          <w:rFonts w:eastAsia="Futuris-Bold" w:cstheme="minorHAnsi"/>
          <w:sz w:val="20"/>
          <w:szCs w:val="20"/>
          <w:lang w:eastAsia="ru-RU"/>
        </w:rPr>
        <w:t>.</w:t>
      </w:r>
      <w:r w:rsidR="001B1381" w:rsidRPr="005B495C">
        <w:rPr>
          <w:rFonts w:eastAsia="Futuris-Bold" w:cstheme="minorHAnsi"/>
          <w:b/>
          <w:sz w:val="20"/>
          <w:szCs w:val="20"/>
          <w:lang w:eastAsia="ru-RU"/>
        </w:rPr>
        <w:t xml:space="preserve"> І акціонерна правова форма центральних контрагентів не є виключною.</w:t>
      </w:r>
    </w:p>
    <w:p w:rsidR="00EC57BF" w:rsidRPr="007D1D82" w:rsidRDefault="00EC57BF" w:rsidP="00EC57BF">
      <w:pPr>
        <w:autoSpaceDE w:val="0"/>
        <w:autoSpaceDN w:val="0"/>
        <w:adjustRightInd w:val="0"/>
        <w:spacing w:after="0"/>
        <w:jc w:val="both"/>
        <w:rPr>
          <w:rFonts w:eastAsia="Futuris-Bold" w:cstheme="minorHAnsi"/>
          <w:sz w:val="20"/>
          <w:szCs w:val="20"/>
          <w:lang w:eastAsia="ru-RU"/>
        </w:rPr>
      </w:pPr>
    </w:p>
    <w:p w:rsidR="00EC57BF" w:rsidRPr="007D1D82" w:rsidRDefault="00EC57BF" w:rsidP="00EC57BF">
      <w:pPr>
        <w:pStyle w:val="a3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1D82">
        <w:rPr>
          <w:rFonts w:asciiTheme="minorHAnsi" w:eastAsia="Futuris-Bold" w:hAnsiTheme="minorHAnsi" w:cstheme="minorHAnsi"/>
          <w:sz w:val="20"/>
          <w:szCs w:val="20"/>
          <w:lang w:eastAsia="ru-RU"/>
        </w:rPr>
        <w:t xml:space="preserve">Саме тому, приймаючи до уваги вищезазначене та низький рівень розвитку біржових ринків в Україні </w:t>
      </w:r>
      <w:r w:rsidRPr="007D1D82">
        <w:rPr>
          <w:rFonts w:asciiTheme="minorHAnsi" w:hAnsiTheme="minorHAnsi" w:cstheme="minorHAnsi"/>
          <w:sz w:val="20"/>
          <w:szCs w:val="20"/>
        </w:rPr>
        <w:t xml:space="preserve">з метою забезпечення ефективності функціонування як біржових, так і позабіржових ринків та мінімізації ризиків і транзакційних витрат  учасників таких ринків,  </w:t>
      </w:r>
      <w:r w:rsidRPr="007D1D82">
        <w:rPr>
          <w:rFonts w:asciiTheme="minorHAnsi" w:hAnsiTheme="minorHAnsi" w:cstheme="minorHAnsi"/>
          <w:b/>
          <w:sz w:val="20"/>
          <w:szCs w:val="20"/>
        </w:rPr>
        <w:t>є доцільним</w:t>
      </w:r>
      <w:r w:rsidRPr="007D1D82">
        <w:rPr>
          <w:rFonts w:asciiTheme="minorHAnsi" w:hAnsiTheme="minorHAnsi" w:cstheme="minorHAnsi"/>
          <w:sz w:val="20"/>
          <w:szCs w:val="20"/>
        </w:rPr>
        <w:t xml:space="preserve"> </w:t>
      </w:r>
      <w:r w:rsidRPr="007D1D82">
        <w:rPr>
          <w:rFonts w:asciiTheme="minorHAnsi" w:hAnsiTheme="minorHAnsi" w:cstheme="minorHAnsi"/>
          <w:b/>
          <w:sz w:val="20"/>
          <w:szCs w:val="20"/>
        </w:rPr>
        <w:t>надати біржам  право здійснювати клірингову діяльн</w:t>
      </w:r>
      <w:r w:rsidR="001B1381">
        <w:rPr>
          <w:rFonts w:asciiTheme="minorHAnsi" w:hAnsiTheme="minorHAnsi" w:cstheme="minorHAnsi"/>
          <w:b/>
          <w:sz w:val="20"/>
          <w:szCs w:val="20"/>
        </w:rPr>
        <w:t>ість центрального контрагента</w:t>
      </w:r>
      <w:r w:rsidRPr="007D1D82">
        <w:rPr>
          <w:rFonts w:asciiTheme="minorHAnsi" w:hAnsiTheme="minorHAnsi" w:cstheme="minorHAnsi"/>
          <w:b/>
          <w:sz w:val="20"/>
          <w:szCs w:val="20"/>
        </w:rPr>
        <w:t>.</w:t>
      </w:r>
    </w:p>
    <w:p w:rsidR="00EC57BF" w:rsidRPr="007D1D82" w:rsidRDefault="00EC57BF" w:rsidP="00A07816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jc w:val="right"/>
        <w:rPr>
          <w:rFonts w:asciiTheme="minorHAnsi" w:hAnsiTheme="minorHAnsi" w:cstheme="minorHAnsi"/>
          <w:b/>
          <w:u w:val="single"/>
        </w:rPr>
      </w:pPr>
    </w:p>
    <w:p w:rsidR="00EC57BF" w:rsidRPr="007D1D82" w:rsidRDefault="00EC57BF">
      <w:pPr>
        <w:rPr>
          <w:rFonts w:eastAsia="Times New Roman" w:cstheme="minorHAnsi"/>
          <w:b/>
          <w:sz w:val="20"/>
          <w:szCs w:val="20"/>
          <w:u w:val="single"/>
          <w:lang w:eastAsia="ru-RU"/>
        </w:rPr>
      </w:pPr>
      <w:r w:rsidRPr="007D1D82">
        <w:rPr>
          <w:rFonts w:cstheme="minorHAnsi"/>
          <w:b/>
          <w:sz w:val="20"/>
          <w:szCs w:val="20"/>
          <w:u w:val="single"/>
        </w:rPr>
        <w:br w:type="page"/>
      </w:r>
    </w:p>
    <w:p w:rsidR="00A07816" w:rsidRPr="006665B0" w:rsidRDefault="00873DC7" w:rsidP="00873DC7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jc w:val="right"/>
        <w:rPr>
          <w:rFonts w:asciiTheme="minorHAnsi" w:hAnsiTheme="minorHAnsi" w:cstheme="minorHAnsi"/>
          <w:b/>
        </w:rPr>
      </w:pPr>
      <w:r w:rsidRPr="006665B0">
        <w:rPr>
          <w:rFonts w:asciiTheme="minorHAnsi" w:hAnsiTheme="minorHAnsi" w:cstheme="minorHAnsi"/>
          <w:b/>
        </w:rPr>
        <w:lastRenderedPageBreak/>
        <w:t>Додаток 2</w:t>
      </w:r>
    </w:p>
    <w:p w:rsidR="00A07816" w:rsidRPr="007D1D82" w:rsidRDefault="00A07816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jc w:val="left"/>
        <w:rPr>
          <w:rFonts w:asciiTheme="minorHAnsi" w:hAnsiTheme="minorHAnsi" w:cstheme="minorHAnsi"/>
        </w:rPr>
      </w:pPr>
    </w:p>
    <w:p w:rsidR="00EC57BF" w:rsidRPr="007D1D82" w:rsidRDefault="00EC57BF" w:rsidP="00EC57B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b/>
          <w:sz w:val="20"/>
          <w:szCs w:val="20"/>
          <w:lang w:eastAsia="uk-UA"/>
        </w:rPr>
        <w:t>Щодо фінансових посередників при укладанні суб’єктами господарювання форвардів та інших деривативів за товарами та отримання ліцензій бізнесом на вчинення таких операцій</w:t>
      </w:r>
    </w:p>
    <w:p w:rsidR="00EC57BF" w:rsidRPr="007D1D82" w:rsidRDefault="00EC57BF" w:rsidP="00EC57BF">
      <w:pPr>
        <w:pStyle w:val="a3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</w:p>
    <w:p w:rsidR="00EC57BF" w:rsidRPr="007D1D82" w:rsidRDefault="00EC57BF" w:rsidP="00EC57BF">
      <w:pPr>
        <w:pStyle w:val="a3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b/>
          <w:sz w:val="20"/>
          <w:szCs w:val="20"/>
          <w:lang w:eastAsia="uk-UA"/>
        </w:rPr>
        <w:t xml:space="preserve">В законопроекті прописані зобов’язання укладати форвардні контракти та інші деривативи на товарному ринку (як біржовому, так і позабіржовому), у тому числі на ринку парникових викидів, виключно через інвестиційні фірми (у термінології чинного законодавства «торговці цінними паперами») 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навіть </w:t>
      </w:r>
      <w:r w:rsidRPr="007D1D82">
        <w:rPr>
          <w:rFonts w:asciiTheme="minorHAnsi" w:eastAsia="Times New Roman" w:hAnsiTheme="minorHAnsi" w:cstheme="minorHAnsi"/>
          <w:b/>
          <w:i/>
          <w:sz w:val="20"/>
          <w:szCs w:val="20"/>
          <w:lang w:eastAsia="uk-UA"/>
        </w:rPr>
        <w:t>у цілях хеджування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. </w:t>
      </w:r>
    </w:p>
    <w:p w:rsidR="00EC57BF" w:rsidRPr="007D1D82" w:rsidRDefault="00EC57BF" w:rsidP="00EC57BF">
      <w:pPr>
        <w:pStyle w:val="a3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</w:p>
    <w:p w:rsidR="00EC57BF" w:rsidRPr="007D1D82" w:rsidRDefault="00EC57BF" w:rsidP="00EC57BF">
      <w:pPr>
        <w:pStyle w:val="a3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При цьому така вимога стосується і суб’єктів господарювання, для яких укладання угод з деривативами є невід’ємної складовою їх господарської діяльності.  В той час як в нормативних актах ЄС, зокрема </w:t>
      </w:r>
      <w:r w:rsidRPr="007D1D82">
        <w:rPr>
          <w:rFonts w:asciiTheme="minorHAnsi" w:eastAsia="Times New Roman" w:hAnsiTheme="minorHAnsi" w:cstheme="minorHAnsi"/>
          <w:sz w:val="20"/>
          <w:szCs w:val="20"/>
          <w:lang w:val="en-US" w:eastAsia="uk-UA"/>
        </w:rPr>
        <w:t>MiFid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, зазначається наступне:</w:t>
      </w:r>
    </w:p>
    <w:p w:rsidR="00EC57BF" w:rsidRPr="007D1D82" w:rsidRDefault="00EC57BF" w:rsidP="00EC57BF">
      <w:pPr>
        <w:spacing w:after="0"/>
        <w:ind w:left="426"/>
        <w:jc w:val="both"/>
        <w:rPr>
          <w:rFonts w:cstheme="minorHAnsi"/>
          <w:sz w:val="20"/>
          <w:szCs w:val="20"/>
        </w:rPr>
      </w:pPr>
      <w:r w:rsidRPr="007D1D82">
        <w:rPr>
          <w:rFonts w:cstheme="minorHAnsi"/>
          <w:b/>
          <w:i/>
          <w:sz w:val="20"/>
          <w:szCs w:val="20"/>
        </w:rPr>
        <w:t>суб’єкти господарювання, що здійснюють виробничу та/або комерційну діяльність на товарному ринку, і для яких укладання товарних деривативів та правочинів щодо них здійснюється ними за власні кошти і є видом діяльності, додатковим до їх діяльності на товарному ринку і не пов’язаним із наданням інвестиційних послуг, мають право здійснювати укладання товарних деривативів без отримання ліцензії (дозволу) і без посередників як на біржовому (при дотриманні вимог, що встановлюються біржею), так і на поза біржовому ринку</w:t>
      </w:r>
      <w:r w:rsidRPr="007D1D82">
        <w:rPr>
          <w:rFonts w:cstheme="minorHAnsi"/>
          <w:sz w:val="20"/>
          <w:szCs w:val="20"/>
        </w:rPr>
        <w:t>.</w:t>
      </w:r>
    </w:p>
    <w:p w:rsidR="00EC57BF" w:rsidRPr="007D1D82" w:rsidRDefault="00EC57BF" w:rsidP="00EC57BF">
      <w:pPr>
        <w:spacing w:after="0"/>
        <w:jc w:val="both"/>
        <w:rPr>
          <w:rFonts w:cstheme="minorHAnsi"/>
          <w:sz w:val="20"/>
          <w:szCs w:val="20"/>
        </w:rPr>
      </w:pPr>
    </w:p>
    <w:p w:rsidR="00EC57BF" w:rsidRPr="007D1D82" w:rsidRDefault="00EC57BF" w:rsidP="00EC57BF">
      <w:pPr>
        <w:spacing w:after="0"/>
        <w:jc w:val="both"/>
        <w:rPr>
          <w:rStyle w:val="hps"/>
          <w:rFonts w:cstheme="minorHAnsi"/>
          <w:sz w:val="20"/>
          <w:szCs w:val="20"/>
        </w:rPr>
      </w:pPr>
      <w:r w:rsidRPr="007D1D82">
        <w:rPr>
          <w:rFonts w:cstheme="minorHAnsi"/>
          <w:sz w:val="20"/>
          <w:szCs w:val="20"/>
        </w:rPr>
        <w:t xml:space="preserve">Слід зазначити, що під зону впливу ж </w:t>
      </w:r>
      <w:r w:rsidRPr="007D1D82">
        <w:rPr>
          <w:rFonts w:cstheme="minorHAnsi"/>
          <w:sz w:val="20"/>
          <w:szCs w:val="20"/>
          <w:lang w:val="en-US"/>
        </w:rPr>
        <w:t>MiFID</w:t>
      </w:r>
      <w:r w:rsidRPr="007D1D82">
        <w:rPr>
          <w:rFonts w:cstheme="minorHAnsi"/>
          <w:sz w:val="20"/>
          <w:szCs w:val="20"/>
        </w:rPr>
        <w:t xml:space="preserve"> підпадають (а й відтак і ПЗУ 7055 повинні підпадати) виключно  інвестиційні компанії, </w:t>
      </w:r>
      <w:r w:rsidRPr="007D1D82">
        <w:rPr>
          <w:rStyle w:val="hps"/>
          <w:rFonts w:cstheme="minorHAnsi"/>
          <w:sz w:val="20"/>
          <w:szCs w:val="20"/>
        </w:rPr>
        <w:t>для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яких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регулярним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заняттям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або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бізнесом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є надання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інвестиційних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послуг та/або здійснення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інвестиційної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діяльності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на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професійній основі, що</w:t>
      </w:r>
      <w:r w:rsidRPr="007D1D82">
        <w:rPr>
          <w:rFonts w:cstheme="minorHAnsi"/>
          <w:sz w:val="20"/>
          <w:szCs w:val="20"/>
        </w:rPr>
        <w:t xml:space="preserve">  </w:t>
      </w:r>
      <w:r w:rsidRPr="007D1D82">
        <w:rPr>
          <w:rStyle w:val="hps"/>
          <w:rFonts w:cstheme="minorHAnsi"/>
          <w:sz w:val="20"/>
          <w:szCs w:val="20"/>
        </w:rPr>
        <w:t>означає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будь-яку юридичну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особу</w:t>
      </w:r>
      <w:r w:rsidRPr="007D1D82">
        <w:rPr>
          <w:rFonts w:cstheme="minorHAnsi"/>
          <w:sz w:val="20"/>
          <w:szCs w:val="20"/>
        </w:rPr>
        <w:t xml:space="preserve">, </w:t>
      </w:r>
      <w:r w:rsidRPr="007D1D82">
        <w:rPr>
          <w:rStyle w:val="hps"/>
          <w:rFonts w:cstheme="minorHAnsi"/>
          <w:sz w:val="20"/>
          <w:szCs w:val="20"/>
        </w:rPr>
        <w:t>регулярним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заняттям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або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бізнесом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якого є надання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однієї або більше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інвестиційних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послуг третім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особам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та/або здійснення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одного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або більше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видів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інвестиційної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діяльності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на</w:t>
      </w:r>
      <w:r w:rsidRPr="007D1D82">
        <w:rPr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професійній основі.</w:t>
      </w:r>
    </w:p>
    <w:p w:rsidR="00EC57BF" w:rsidRPr="007D1D82" w:rsidRDefault="00EC57BF" w:rsidP="00EC57BF">
      <w:pPr>
        <w:spacing w:after="0"/>
        <w:rPr>
          <w:rStyle w:val="longtext"/>
          <w:rFonts w:cstheme="minorHAnsi"/>
          <w:sz w:val="20"/>
          <w:szCs w:val="20"/>
        </w:rPr>
      </w:pPr>
    </w:p>
    <w:p w:rsidR="00EC57BF" w:rsidRPr="007D1D82" w:rsidRDefault="00EC57BF" w:rsidP="00EC57BF">
      <w:pPr>
        <w:spacing w:after="0"/>
        <w:jc w:val="both"/>
        <w:rPr>
          <w:rStyle w:val="longtext"/>
          <w:rFonts w:cstheme="minorHAnsi"/>
          <w:sz w:val="20"/>
          <w:szCs w:val="20"/>
        </w:rPr>
      </w:pPr>
      <w:r w:rsidRPr="007D1D82">
        <w:rPr>
          <w:rStyle w:val="longtext"/>
          <w:rFonts w:cstheme="minorHAnsi"/>
          <w:sz w:val="20"/>
          <w:szCs w:val="20"/>
        </w:rPr>
        <w:t>Так яскравим прикладом є с</w:t>
      </w:r>
      <w:r w:rsidRPr="007D1D82">
        <w:rPr>
          <w:rStyle w:val="hps"/>
          <w:rFonts w:cstheme="minorHAnsi"/>
          <w:sz w:val="20"/>
          <w:szCs w:val="20"/>
        </w:rPr>
        <w:t>истема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b/>
          <w:sz w:val="20"/>
          <w:szCs w:val="20"/>
        </w:rPr>
        <w:t>globalCOAL</w:t>
      </w:r>
      <w:r w:rsidRPr="007D1D82">
        <w:rPr>
          <w:rStyle w:val="longtext"/>
          <w:rFonts w:cstheme="minorHAnsi"/>
          <w:sz w:val="20"/>
          <w:szCs w:val="20"/>
        </w:rPr>
        <w:t xml:space="preserve"> – </w:t>
      </w:r>
      <w:r w:rsidRPr="007D1D82">
        <w:rPr>
          <w:rStyle w:val="hps"/>
          <w:rFonts w:cstheme="minorHAnsi"/>
          <w:sz w:val="20"/>
          <w:szCs w:val="20"/>
        </w:rPr>
        <w:t>електронна торгова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платформа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для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торгівлі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фізичним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вугіллям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sz w:val="20"/>
          <w:szCs w:val="20"/>
        </w:rPr>
        <w:t>і фінансовими інструментами</w:t>
      </w:r>
      <w:r w:rsidRPr="007D1D82">
        <w:rPr>
          <w:rStyle w:val="longtext"/>
          <w:rFonts w:cstheme="minorHAnsi"/>
          <w:sz w:val="20"/>
          <w:szCs w:val="20"/>
        </w:rPr>
        <w:t xml:space="preserve"> (зокрема форвардами, свопами) </w:t>
      </w:r>
      <w:r w:rsidRPr="007D1D82">
        <w:rPr>
          <w:rStyle w:val="hps"/>
          <w:rFonts w:cstheme="minorHAnsi"/>
          <w:sz w:val="20"/>
          <w:szCs w:val="20"/>
        </w:rPr>
        <w:t>між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  <w:r w:rsidRPr="007D1D82">
        <w:rPr>
          <w:rStyle w:val="hps"/>
          <w:rFonts w:cstheme="minorHAnsi"/>
          <w:b/>
          <w:sz w:val="20"/>
          <w:szCs w:val="20"/>
        </w:rPr>
        <w:t>членами</w:t>
      </w:r>
      <w:r w:rsidRPr="007D1D82">
        <w:rPr>
          <w:rStyle w:val="longtext"/>
          <w:rFonts w:cstheme="minorHAnsi"/>
          <w:b/>
          <w:sz w:val="20"/>
          <w:szCs w:val="20"/>
        </w:rPr>
        <w:t xml:space="preserve"> </w:t>
      </w:r>
      <w:r w:rsidRPr="007D1D82">
        <w:rPr>
          <w:rStyle w:val="hps"/>
          <w:rFonts w:cstheme="minorHAnsi"/>
          <w:b/>
          <w:sz w:val="20"/>
          <w:szCs w:val="20"/>
        </w:rPr>
        <w:t>цієї системи, якими, зокрема, є вугледобувні</w:t>
      </w:r>
      <w:r w:rsidRPr="007D1D82">
        <w:rPr>
          <w:rStyle w:val="longtext"/>
          <w:rFonts w:cstheme="minorHAnsi"/>
          <w:b/>
          <w:sz w:val="20"/>
          <w:szCs w:val="20"/>
        </w:rPr>
        <w:t xml:space="preserve"> </w:t>
      </w:r>
      <w:r w:rsidRPr="007D1D82">
        <w:rPr>
          <w:rStyle w:val="hps"/>
          <w:rFonts w:cstheme="minorHAnsi"/>
          <w:b/>
          <w:sz w:val="20"/>
          <w:szCs w:val="20"/>
        </w:rPr>
        <w:t>компанії</w:t>
      </w:r>
      <w:r w:rsidRPr="007D1D82">
        <w:rPr>
          <w:rStyle w:val="longtext"/>
          <w:rFonts w:cstheme="minorHAnsi"/>
          <w:b/>
          <w:sz w:val="20"/>
          <w:szCs w:val="20"/>
        </w:rPr>
        <w:t xml:space="preserve">, компанії-споживачі </w:t>
      </w:r>
      <w:r w:rsidRPr="007D1D82">
        <w:rPr>
          <w:rStyle w:val="hps"/>
          <w:rFonts w:cstheme="minorHAnsi"/>
          <w:b/>
          <w:sz w:val="20"/>
          <w:szCs w:val="20"/>
        </w:rPr>
        <w:t>та фінансові компанії</w:t>
      </w:r>
      <w:r w:rsidRPr="007D1D82">
        <w:rPr>
          <w:rStyle w:val="hps"/>
          <w:rFonts w:cstheme="minorHAnsi"/>
          <w:sz w:val="20"/>
          <w:szCs w:val="20"/>
        </w:rPr>
        <w:t>.</w:t>
      </w:r>
      <w:r w:rsidRPr="007D1D82">
        <w:rPr>
          <w:rStyle w:val="longtext"/>
          <w:rFonts w:cstheme="minorHAnsi"/>
          <w:sz w:val="20"/>
          <w:szCs w:val="20"/>
        </w:rPr>
        <w:t xml:space="preserve"> </w:t>
      </w: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C7D32">
        <w:rPr>
          <w:rFonts w:cstheme="minorHAnsi"/>
          <w:b/>
          <w:color w:val="000000"/>
          <w:sz w:val="20"/>
          <w:szCs w:val="20"/>
          <w:shd w:val="clear" w:color="auto" w:fill="FFFFFF"/>
        </w:rPr>
        <w:t>На міжнародних біржах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 (зокрема ЕЕХ 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Group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, СМЕ 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Group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, Польська енергетична біржа  - </w:t>
      </w:r>
      <w:r w:rsidRPr="007D1D82">
        <w:rPr>
          <w:rFonts w:cstheme="minorHAnsi"/>
          <w:sz w:val="20"/>
          <w:szCs w:val="20"/>
        </w:rPr>
        <w:t>Towarowa Giełda Energii S.A. (TGE)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) </w:t>
      </w:r>
      <w:r w:rsidRPr="005C7D32">
        <w:rPr>
          <w:rFonts w:cstheme="minorHAnsi"/>
          <w:b/>
          <w:color w:val="000000"/>
          <w:sz w:val="20"/>
          <w:szCs w:val="20"/>
          <w:shd w:val="clear" w:color="auto" w:fill="FFFFFF"/>
        </w:rPr>
        <w:t>участь у торгах товарними деривативів мають право приймати і  не фінансові компанії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 за умови «забезпечення ними відповідного рівня економічної відповідальності» - </w:t>
      </w:r>
      <w:r w:rsidRPr="00F4689C">
        <w:rPr>
          <w:rFonts w:cstheme="minorHAnsi"/>
          <w:b/>
          <w:color w:val="000000"/>
          <w:sz w:val="20"/>
          <w:szCs w:val="20"/>
          <w:shd w:val="clear" w:color="auto" w:fill="FFFFFF"/>
        </w:rPr>
        <w:t>дотримання вимог</w:t>
      </w:r>
      <w:r w:rsidRPr="00F4689C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4689C">
        <w:rPr>
          <w:rFonts w:cstheme="minorHAnsi"/>
          <w:i/>
          <w:color w:val="000000"/>
          <w:sz w:val="20"/>
          <w:szCs w:val="20"/>
          <w:shd w:val="clear" w:color="auto" w:fill="FFFFFF"/>
        </w:rPr>
        <w:t>щодо власного капіталу, наявності кваліфікованих  відповідно до правил біржі фахівців та інших вимог</w:t>
      </w:r>
      <w:r w:rsidRPr="00F4689C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F4689C">
        <w:rPr>
          <w:rFonts w:cstheme="minorHAnsi"/>
          <w:b/>
          <w:color w:val="000000"/>
          <w:sz w:val="20"/>
          <w:szCs w:val="20"/>
          <w:shd w:val="clear" w:color="auto" w:fill="FFFFFF"/>
        </w:rPr>
        <w:t>що висуваються біржею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="00F4689C">
        <w:rPr>
          <w:rFonts w:cstheme="minorHAnsi"/>
          <w:color w:val="000000"/>
          <w:sz w:val="20"/>
          <w:szCs w:val="20"/>
          <w:shd w:val="clear" w:color="auto" w:fill="FFFFFF"/>
        </w:rPr>
        <w:t xml:space="preserve"> Також </w:t>
      </w:r>
      <w:r w:rsidR="00F4689C" w:rsidRPr="005C7D32">
        <w:rPr>
          <w:rFonts w:cstheme="minorHAnsi"/>
          <w:b/>
          <w:color w:val="000000"/>
          <w:sz w:val="20"/>
          <w:szCs w:val="20"/>
          <w:shd w:val="clear" w:color="auto" w:fill="FFFFFF"/>
        </w:rPr>
        <w:t>не фінансові компанії</w:t>
      </w:r>
      <w:r w:rsidR="00F4689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– учасники торгів можуть бути і кліринговими членами.</w:t>
      </w: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В Україні, де існує розрив між фінансовим ринком та реальним сектором економіки, </w:t>
      </w:r>
      <w:r w:rsidRPr="007D1D82">
        <w:rPr>
          <w:rFonts w:cstheme="minorHAnsi"/>
          <w:sz w:val="20"/>
          <w:szCs w:val="20"/>
        </w:rPr>
        <w:t xml:space="preserve">в сьогоднішніх умовах дефіциту оборотних коштів у суб’єктів господарювання, фактично відсутності кредитування економіки з боку банківського сектору та інвестування з боку фондового ринку, замість того, щоб 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створити умови для стимулювання застосування деривативів як інструментів хеджування представниками реального сектору економіки, у законопроекті пропонується запровадити норми, спрямовані на пошук чергового джерела заробітку для інвестиційних компаній як посередників на ринку деривативів. </w:t>
      </w: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Не кажучи про те, що такий крок аж ніяк не сприятиме </w:t>
      </w:r>
      <w:r w:rsidRPr="007D1D82">
        <w:rPr>
          <w:rStyle w:val="longtext"/>
          <w:rFonts w:cstheme="minorHAnsi"/>
          <w:sz w:val="20"/>
          <w:szCs w:val="20"/>
        </w:rPr>
        <w:t xml:space="preserve">розвитку організованих товарних ринків в Україні і ринку товарних деривативів, і не буде </w:t>
      </w:r>
      <w:r w:rsidR="001908D7" w:rsidRPr="007D1D82">
        <w:rPr>
          <w:rFonts w:cstheme="minorHAnsi"/>
          <w:color w:val="000000"/>
          <w:sz w:val="20"/>
          <w:szCs w:val="20"/>
          <w:shd w:val="clear" w:color="auto" w:fill="FFFFFF"/>
        </w:rPr>
        <w:t>стимулювати х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>ед</w:t>
      </w:r>
      <w:r w:rsidR="001908D7" w:rsidRPr="007D1D82">
        <w:rPr>
          <w:rFonts w:cstheme="minorHAnsi"/>
          <w:color w:val="000000"/>
          <w:sz w:val="20"/>
          <w:szCs w:val="20"/>
          <w:shd w:val="clear" w:color="auto" w:fill="FFFFFF"/>
        </w:rPr>
        <w:t>ж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 xml:space="preserve">ерів з реального сектору економіки до участі на ринку товарних деривативів. Ця норма спрямована виключно в інтересах </w:t>
      </w:r>
      <w:r w:rsidRPr="007D1D82">
        <w:rPr>
          <w:rStyle w:val="longtext"/>
          <w:rFonts w:cstheme="minorHAnsi"/>
          <w:sz w:val="20"/>
          <w:szCs w:val="20"/>
        </w:rPr>
        <w:t xml:space="preserve">сьогоднішніх торговців цінними паперами. 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>І ми в черговий раз будемо бачити на біржах ф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’</w:t>
      </w:r>
      <w:r w:rsidRPr="007D1D82">
        <w:rPr>
          <w:rFonts w:cstheme="minorHAnsi"/>
          <w:color w:val="000000"/>
          <w:sz w:val="20"/>
          <w:szCs w:val="20"/>
          <w:shd w:val="clear" w:color="auto" w:fill="FFFFFF"/>
        </w:rPr>
        <w:t>ючерси, опціони, якими «граються» учасники фінансового ринку як з інвестиційними (= спекулятивними) інструментами.</w:t>
      </w:r>
    </w:p>
    <w:p w:rsidR="00EC57BF" w:rsidRPr="007D1D82" w:rsidRDefault="00EC57BF" w:rsidP="00EC57B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EC57BF" w:rsidRPr="007D1D82" w:rsidRDefault="00EC57BF" w:rsidP="00EC57BF">
      <w:pPr>
        <w:spacing w:after="0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7D1D82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Сьогодні ж необхідно створювати умови для розвитку ринку деривативів, насамперед, в інтересах реального сектору економіку, для формування біржового товарного ринку і внутрішніх бенчмарків на товарному ринку і запровадження товарних деривативів. </w:t>
      </w:r>
    </w:p>
    <w:p w:rsidR="009264FF" w:rsidRPr="007D1D82" w:rsidRDefault="009264FF" w:rsidP="00EC57BF">
      <w:pPr>
        <w:spacing w:after="0"/>
        <w:jc w:val="both"/>
        <w:rPr>
          <w:rFonts w:cstheme="minorHAnsi"/>
          <w:b/>
          <w:sz w:val="20"/>
          <w:szCs w:val="20"/>
          <w:shd w:val="clear" w:color="auto" w:fill="FFFFFF"/>
        </w:rPr>
      </w:pPr>
    </w:p>
    <w:p w:rsidR="00EC57BF" w:rsidRPr="007D1D82" w:rsidRDefault="00EC57BF" w:rsidP="00EC57B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b/>
          <w:sz w:val="20"/>
          <w:szCs w:val="20"/>
          <w:lang w:eastAsia="uk-UA"/>
        </w:rPr>
        <w:t>Щодо укладання деривативів у цілях хеджування</w:t>
      </w:r>
    </w:p>
    <w:p w:rsidR="00EC57BF" w:rsidRPr="007D1D82" w:rsidRDefault="00EC57BF" w:rsidP="00EC57BF">
      <w:pPr>
        <w:pStyle w:val="a3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uk-UA"/>
        </w:rPr>
      </w:pPr>
    </w:p>
    <w:p w:rsidR="00EC57BF" w:rsidRPr="007D1D82" w:rsidRDefault="00EC57BF" w:rsidP="00EC57BF">
      <w:pPr>
        <w:pStyle w:val="a3"/>
        <w:tabs>
          <w:tab w:val="left" w:pos="284"/>
        </w:tabs>
        <w:spacing w:after="0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uk-UA"/>
        </w:rPr>
      </w:pP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 xml:space="preserve">Нажаль, ПЗУ 7055 (як і його попередник – ПЗУ 3498) взагалі обійшов </w:t>
      </w:r>
      <w:r w:rsidR="00E130C8"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х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ед</w:t>
      </w:r>
      <w:r w:rsidR="00E130C8"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ж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ерів та укладання деривативів у цілях хеджування. В той час як сприяння у залученні суб</w:t>
      </w:r>
      <w:r w:rsidRPr="007D1D82">
        <w:rPr>
          <w:rFonts w:asciiTheme="minorHAnsi" w:eastAsia="Times New Roman" w:hAnsiTheme="minorHAnsi" w:cstheme="minorHAnsi"/>
          <w:sz w:val="20"/>
          <w:szCs w:val="20"/>
          <w:lang w:val="ru-RU" w:eastAsia="uk-UA"/>
        </w:rPr>
        <w:t>’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єктів господарювання до здійснення операцій з деривативами у цілях хеджування дозволило би таким суб</w:t>
      </w:r>
      <w:r w:rsidRPr="007D1D82">
        <w:rPr>
          <w:rFonts w:asciiTheme="minorHAnsi" w:eastAsia="Times New Roman" w:hAnsiTheme="minorHAnsi" w:cstheme="minorHAnsi"/>
          <w:sz w:val="20"/>
          <w:szCs w:val="20"/>
          <w:lang w:val="ru-RU" w:eastAsia="uk-UA"/>
        </w:rPr>
        <w:t>’</w:t>
      </w:r>
      <w:r w:rsidRPr="007D1D82">
        <w:rPr>
          <w:rFonts w:asciiTheme="minorHAnsi" w:eastAsia="Times New Roman" w:hAnsiTheme="minorHAnsi" w:cstheme="minorHAnsi"/>
          <w:sz w:val="20"/>
          <w:szCs w:val="20"/>
          <w:lang w:eastAsia="uk-UA"/>
        </w:rPr>
        <w:t>єктам хеджувати фінансові ризики (рівень рентабельності) та отримувати доступ за рахунок таких операцій до позичкових коштів за меншими відсотковими ставками.</w:t>
      </w:r>
    </w:p>
    <w:p w:rsidR="00EC57BF" w:rsidRPr="007D1D82" w:rsidRDefault="00EC57BF">
      <w:pPr>
        <w:pStyle w:val="StyleZakonu"/>
        <w:keepNext/>
        <w:shd w:val="clear" w:color="auto" w:fill="FFFFFF"/>
        <w:adjustRightInd w:val="0"/>
        <w:snapToGrid w:val="0"/>
        <w:spacing w:after="0" w:line="240" w:lineRule="auto"/>
        <w:ind w:firstLine="0"/>
        <w:jc w:val="left"/>
        <w:rPr>
          <w:rFonts w:asciiTheme="minorHAnsi" w:hAnsiTheme="minorHAnsi" w:cstheme="minorHAnsi"/>
        </w:rPr>
      </w:pPr>
    </w:p>
    <w:sectPr w:rsidR="00EC57BF" w:rsidRPr="007D1D82" w:rsidSect="00FB00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57" w:rsidRDefault="00D51457" w:rsidP="00B51840">
      <w:pPr>
        <w:spacing w:after="0" w:line="240" w:lineRule="auto"/>
      </w:pPr>
      <w:r>
        <w:separator/>
      </w:r>
    </w:p>
  </w:endnote>
  <w:endnote w:type="continuationSeparator" w:id="0">
    <w:p w:rsidR="00D51457" w:rsidRDefault="00D51457" w:rsidP="00B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i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57" w:rsidRDefault="00D51457" w:rsidP="00B51840">
      <w:pPr>
        <w:spacing w:after="0" w:line="240" w:lineRule="auto"/>
      </w:pPr>
      <w:r>
        <w:separator/>
      </w:r>
    </w:p>
  </w:footnote>
  <w:footnote w:type="continuationSeparator" w:id="0">
    <w:p w:rsidR="00D51457" w:rsidRDefault="00D51457" w:rsidP="00B5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4FB"/>
    <w:multiLevelType w:val="hybridMultilevel"/>
    <w:tmpl w:val="2A7E94B2"/>
    <w:lvl w:ilvl="0" w:tplc="B85E63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A60"/>
    <w:multiLevelType w:val="hybridMultilevel"/>
    <w:tmpl w:val="622A4CB8"/>
    <w:lvl w:ilvl="0" w:tplc="E82CA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7642"/>
    <w:multiLevelType w:val="hybridMultilevel"/>
    <w:tmpl w:val="6190428E"/>
    <w:lvl w:ilvl="0" w:tplc="A572B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029AE"/>
    <w:multiLevelType w:val="hybridMultilevel"/>
    <w:tmpl w:val="8F345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F2"/>
    <w:rsid w:val="0000553C"/>
    <w:rsid w:val="00073C02"/>
    <w:rsid w:val="00095C42"/>
    <w:rsid w:val="000A3619"/>
    <w:rsid w:val="000C6CDC"/>
    <w:rsid w:val="000C74A4"/>
    <w:rsid w:val="000E4E20"/>
    <w:rsid w:val="000E5E56"/>
    <w:rsid w:val="00103D60"/>
    <w:rsid w:val="001243B0"/>
    <w:rsid w:val="00165654"/>
    <w:rsid w:val="001908D7"/>
    <w:rsid w:val="001B1381"/>
    <w:rsid w:val="001D0389"/>
    <w:rsid w:val="001E1E50"/>
    <w:rsid w:val="001F0DA2"/>
    <w:rsid w:val="00246FA8"/>
    <w:rsid w:val="00253687"/>
    <w:rsid w:val="002551CA"/>
    <w:rsid w:val="00257189"/>
    <w:rsid w:val="002609D3"/>
    <w:rsid w:val="0027346D"/>
    <w:rsid w:val="00275545"/>
    <w:rsid w:val="00277250"/>
    <w:rsid w:val="002C185A"/>
    <w:rsid w:val="003038EF"/>
    <w:rsid w:val="003448D4"/>
    <w:rsid w:val="00394408"/>
    <w:rsid w:val="00397CF9"/>
    <w:rsid w:val="003B09F6"/>
    <w:rsid w:val="003D0025"/>
    <w:rsid w:val="00412DC7"/>
    <w:rsid w:val="00496858"/>
    <w:rsid w:val="005436AB"/>
    <w:rsid w:val="00563765"/>
    <w:rsid w:val="0057625F"/>
    <w:rsid w:val="00592D7F"/>
    <w:rsid w:val="005A017E"/>
    <w:rsid w:val="005B495C"/>
    <w:rsid w:val="005C7D32"/>
    <w:rsid w:val="005D524E"/>
    <w:rsid w:val="0062708A"/>
    <w:rsid w:val="006523AF"/>
    <w:rsid w:val="006665B0"/>
    <w:rsid w:val="006858A0"/>
    <w:rsid w:val="006A3B06"/>
    <w:rsid w:val="007016B1"/>
    <w:rsid w:val="00701746"/>
    <w:rsid w:val="00715000"/>
    <w:rsid w:val="007401F5"/>
    <w:rsid w:val="00783304"/>
    <w:rsid w:val="007D1D82"/>
    <w:rsid w:val="00810FF2"/>
    <w:rsid w:val="008159AE"/>
    <w:rsid w:val="0083661E"/>
    <w:rsid w:val="00873DC7"/>
    <w:rsid w:val="00896150"/>
    <w:rsid w:val="00916864"/>
    <w:rsid w:val="009264FF"/>
    <w:rsid w:val="00931C01"/>
    <w:rsid w:val="00974617"/>
    <w:rsid w:val="00986168"/>
    <w:rsid w:val="009A3FD5"/>
    <w:rsid w:val="009B0277"/>
    <w:rsid w:val="009D4DE0"/>
    <w:rsid w:val="009E769F"/>
    <w:rsid w:val="009F0F88"/>
    <w:rsid w:val="00A00F7A"/>
    <w:rsid w:val="00A031AB"/>
    <w:rsid w:val="00A038B3"/>
    <w:rsid w:val="00A07816"/>
    <w:rsid w:val="00A07BD5"/>
    <w:rsid w:val="00A13395"/>
    <w:rsid w:val="00A21401"/>
    <w:rsid w:val="00A30F79"/>
    <w:rsid w:val="00A3178F"/>
    <w:rsid w:val="00A56E35"/>
    <w:rsid w:val="00A87EC5"/>
    <w:rsid w:val="00A9127A"/>
    <w:rsid w:val="00A943AA"/>
    <w:rsid w:val="00AD2A6C"/>
    <w:rsid w:val="00AF442C"/>
    <w:rsid w:val="00B11A81"/>
    <w:rsid w:val="00B22E2A"/>
    <w:rsid w:val="00B23706"/>
    <w:rsid w:val="00B50ED8"/>
    <w:rsid w:val="00B51840"/>
    <w:rsid w:val="00BA35ED"/>
    <w:rsid w:val="00BA5933"/>
    <w:rsid w:val="00BB2F58"/>
    <w:rsid w:val="00BB530D"/>
    <w:rsid w:val="00BC1CC8"/>
    <w:rsid w:val="00C17696"/>
    <w:rsid w:val="00C2299E"/>
    <w:rsid w:val="00C77681"/>
    <w:rsid w:val="00CA18C1"/>
    <w:rsid w:val="00CA6BB7"/>
    <w:rsid w:val="00CB2E01"/>
    <w:rsid w:val="00CC2C97"/>
    <w:rsid w:val="00D4694A"/>
    <w:rsid w:val="00D51457"/>
    <w:rsid w:val="00D64F1D"/>
    <w:rsid w:val="00D67AEF"/>
    <w:rsid w:val="00D76A47"/>
    <w:rsid w:val="00D82B8A"/>
    <w:rsid w:val="00D87F44"/>
    <w:rsid w:val="00D950B0"/>
    <w:rsid w:val="00DE1F0E"/>
    <w:rsid w:val="00E023D1"/>
    <w:rsid w:val="00E130C8"/>
    <w:rsid w:val="00E20602"/>
    <w:rsid w:val="00E71FA1"/>
    <w:rsid w:val="00E84AFE"/>
    <w:rsid w:val="00EC57BF"/>
    <w:rsid w:val="00EC584F"/>
    <w:rsid w:val="00EC67D4"/>
    <w:rsid w:val="00ED179C"/>
    <w:rsid w:val="00F02EBC"/>
    <w:rsid w:val="00F07FCE"/>
    <w:rsid w:val="00F25050"/>
    <w:rsid w:val="00F37F88"/>
    <w:rsid w:val="00F4689C"/>
    <w:rsid w:val="00F56420"/>
    <w:rsid w:val="00F745AD"/>
    <w:rsid w:val="00FA00C9"/>
    <w:rsid w:val="00FB00E3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5A70"/>
  <w15:docId w15:val="{F80D92A6-DDAB-46BA-AFAB-EF00B02B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1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link w:val="StyleZakonu0"/>
    <w:uiPriority w:val="99"/>
    <w:rsid w:val="00CC2C9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CC2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rsid w:val="00A07816"/>
  </w:style>
  <w:style w:type="paragraph" w:styleId="a3">
    <w:name w:val="List Paragraph"/>
    <w:basedOn w:val="a"/>
    <w:uiPriority w:val="34"/>
    <w:qFormat/>
    <w:rsid w:val="00A078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A07816"/>
  </w:style>
  <w:style w:type="character" w:styleId="a4">
    <w:name w:val="Hyperlink"/>
    <w:basedOn w:val="a0"/>
    <w:uiPriority w:val="99"/>
    <w:semiHidden/>
    <w:unhideWhenUsed/>
    <w:rsid w:val="00A943A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51840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51840"/>
    <w:rPr>
      <w:rFonts w:ascii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B51840"/>
    <w:rPr>
      <w:vertAlign w:val="superscript"/>
    </w:rPr>
  </w:style>
  <w:style w:type="paragraph" w:customStyle="1" w:styleId="Default">
    <w:name w:val="Default"/>
    <w:rsid w:val="00B518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9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4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76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8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2017-09-19T17:29:00Z</cp:lastPrinted>
  <dcterms:created xsi:type="dcterms:W3CDTF">2018-01-18T08:38:00Z</dcterms:created>
  <dcterms:modified xsi:type="dcterms:W3CDTF">2018-01-18T08:38:00Z</dcterms:modified>
</cp:coreProperties>
</file>